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E0B44" w14:textId="77777777" w:rsidR="009118DC" w:rsidRDefault="009118DC" w:rsidP="009118DC">
      <w:pPr>
        <w:jc w:val="center"/>
        <w:rPr>
          <w:rFonts w:ascii="Times New Roman" w:hAnsi="Times New Roman" w:cs="Times New Roman"/>
          <w:b/>
          <w:bCs/>
          <w:lang w:val="ru-RU"/>
        </w:rPr>
      </w:pPr>
      <w:r w:rsidRPr="009E399B">
        <w:rPr>
          <w:rFonts w:ascii="Times New Roman" w:hAnsi="Times New Roman" w:cs="Times New Roman"/>
          <w:b/>
          <w:bCs/>
          <w:lang w:val="ru-RU"/>
        </w:rPr>
        <w:t>КУРЬЕРДИ</w:t>
      </w:r>
      <w:r>
        <w:rPr>
          <w:rFonts w:ascii="Times New Roman" w:hAnsi="Times New Roman" w:cs="Times New Roman"/>
          <w:b/>
          <w:bCs/>
          <w:lang w:val="ru-RU"/>
        </w:rPr>
        <w:t>К КЫЗМАТТАРДЫ САТЫП АЛУУ БОЮНЧА</w:t>
      </w:r>
    </w:p>
    <w:p w14:paraId="0E8FDDEC" w14:textId="12EB558F" w:rsidR="009E399B" w:rsidRPr="009E399B" w:rsidRDefault="009118DC" w:rsidP="009118DC">
      <w:pPr>
        <w:jc w:val="center"/>
        <w:rPr>
          <w:rFonts w:ascii="Times New Roman" w:hAnsi="Times New Roman" w:cs="Times New Roman"/>
          <w:b/>
          <w:bCs/>
          <w:lang w:val="ru-RU"/>
        </w:rPr>
      </w:pPr>
      <w:bookmarkStart w:id="0" w:name="_GoBack"/>
      <w:bookmarkEnd w:id="0"/>
      <w:r w:rsidRPr="009E399B">
        <w:rPr>
          <w:rFonts w:ascii="Times New Roman" w:hAnsi="Times New Roman" w:cs="Times New Roman"/>
          <w:b/>
          <w:bCs/>
          <w:lang w:val="ru-RU"/>
        </w:rPr>
        <w:t>ТЕХНИКАЛЫК ТАПШЫРМА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
        <w:gridCol w:w="2579"/>
        <w:gridCol w:w="6763"/>
      </w:tblGrid>
      <w:tr w:rsidR="009E399B" w:rsidRPr="009E399B" w14:paraId="15013790" w14:textId="77777777" w:rsidTr="009E399B">
        <w:trPr>
          <w:tblHeader/>
          <w:tblCellSpacing w:w="15" w:type="dxa"/>
        </w:trPr>
        <w:tc>
          <w:tcPr>
            <w:tcW w:w="0" w:type="auto"/>
            <w:shd w:val="clear" w:color="auto" w:fill="F5F5F5"/>
            <w:vAlign w:val="center"/>
            <w:hideMark/>
          </w:tcPr>
          <w:p w14:paraId="40415797" w14:textId="77777777" w:rsidR="009E399B" w:rsidRPr="009E399B" w:rsidRDefault="009E399B" w:rsidP="009E399B">
            <w:pPr>
              <w:rPr>
                <w:rFonts w:ascii="Times New Roman" w:hAnsi="Times New Roman" w:cs="Times New Roman"/>
                <w:b/>
                <w:bCs/>
              </w:rPr>
            </w:pPr>
            <w:r w:rsidRPr="009E399B">
              <w:rPr>
                <w:rFonts w:ascii="Times New Roman" w:hAnsi="Times New Roman" w:cs="Times New Roman"/>
                <w:b/>
                <w:bCs/>
              </w:rPr>
              <w:t>№</w:t>
            </w:r>
          </w:p>
        </w:tc>
        <w:tc>
          <w:tcPr>
            <w:tcW w:w="0" w:type="auto"/>
            <w:shd w:val="clear" w:color="auto" w:fill="F5F5F5"/>
            <w:vAlign w:val="center"/>
            <w:hideMark/>
          </w:tcPr>
          <w:p w14:paraId="25C9FFD1" w14:textId="77777777" w:rsidR="009E399B" w:rsidRPr="009E399B" w:rsidRDefault="009E399B" w:rsidP="009E399B">
            <w:pPr>
              <w:rPr>
                <w:rFonts w:ascii="Times New Roman" w:hAnsi="Times New Roman" w:cs="Times New Roman"/>
                <w:b/>
                <w:bCs/>
                <w:lang w:val="ru-RU"/>
              </w:rPr>
            </w:pPr>
            <w:r w:rsidRPr="009E399B">
              <w:rPr>
                <w:rFonts w:ascii="Times New Roman" w:hAnsi="Times New Roman" w:cs="Times New Roman"/>
                <w:b/>
                <w:bCs/>
                <w:lang w:val="ru-RU"/>
              </w:rPr>
              <w:t>Негизги маалыматтар жана талаптардын аталышы</w:t>
            </w:r>
          </w:p>
        </w:tc>
        <w:tc>
          <w:tcPr>
            <w:tcW w:w="0" w:type="auto"/>
            <w:shd w:val="clear" w:color="auto" w:fill="F5F5F5"/>
            <w:vAlign w:val="center"/>
            <w:hideMark/>
          </w:tcPr>
          <w:p w14:paraId="5167C519" w14:textId="77777777" w:rsidR="009E399B" w:rsidRPr="009E399B" w:rsidRDefault="009E399B" w:rsidP="009E399B">
            <w:pPr>
              <w:rPr>
                <w:rFonts w:ascii="Times New Roman" w:hAnsi="Times New Roman" w:cs="Times New Roman"/>
                <w:b/>
                <w:bCs/>
              </w:rPr>
            </w:pPr>
            <w:r w:rsidRPr="009E399B">
              <w:rPr>
                <w:rFonts w:ascii="Times New Roman" w:hAnsi="Times New Roman" w:cs="Times New Roman"/>
                <w:b/>
                <w:bCs/>
              </w:rPr>
              <w:t>Негизги маалыматтар жана талаптар</w:t>
            </w:r>
          </w:p>
        </w:tc>
      </w:tr>
      <w:tr w:rsidR="009E399B" w:rsidRPr="009E399B" w14:paraId="47FE99AD" w14:textId="77777777" w:rsidTr="009E399B">
        <w:trPr>
          <w:tblCellSpacing w:w="15" w:type="dxa"/>
        </w:trPr>
        <w:tc>
          <w:tcPr>
            <w:tcW w:w="0" w:type="auto"/>
            <w:vAlign w:val="center"/>
            <w:hideMark/>
          </w:tcPr>
          <w:p w14:paraId="6ABD3CDE"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1</w:t>
            </w:r>
          </w:p>
        </w:tc>
        <w:tc>
          <w:tcPr>
            <w:tcW w:w="0" w:type="auto"/>
            <w:vAlign w:val="center"/>
            <w:hideMark/>
          </w:tcPr>
          <w:p w14:paraId="78D4FB45"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Кызматтын аталышы</w:t>
            </w:r>
          </w:p>
        </w:tc>
        <w:tc>
          <w:tcPr>
            <w:tcW w:w="0" w:type="auto"/>
            <w:vAlign w:val="center"/>
            <w:hideMark/>
          </w:tcPr>
          <w:p w14:paraId="1DB8721E"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Курьердик кызматтарды көрсөтүү: кат алышууларды жана майда жүк жөнөтмөлөрдү экспресс жеткирүү. Заказчынын муктаждыктары үчүн жөнөтмөлөрдү өз убагында, ишенимдүү жана коопсуз жеткирүүнү камсыз кылуу.</w:t>
            </w:r>
          </w:p>
        </w:tc>
      </w:tr>
      <w:tr w:rsidR="009E399B" w:rsidRPr="009118DC" w14:paraId="257E4FCA" w14:textId="77777777" w:rsidTr="009E399B">
        <w:trPr>
          <w:tblCellSpacing w:w="15" w:type="dxa"/>
        </w:trPr>
        <w:tc>
          <w:tcPr>
            <w:tcW w:w="0" w:type="auto"/>
            <w:vAlign w:val="center"/>
            <w:hideMark/>
          </w:tcPr>
          <w:p w14:paraId="0D5A6535"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2</w:t>
            </w:r>
          </w:p>
        </w:tc>
        <w:tc>
          <w:tcPr>
            <w:tcW w:w="0" w:type="auto"/>
            <w:vAlign w:val="center"/>
            <w:hideMark/>
          </w:tcPr>
          <w:p w14:paraId="5FE9502F"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Заказчы</w:t>
            </w:r>
          </w:p>
        </w:tc>
        <w:tc>
          <w:tcPr>
            <w:tcW w:w="0" w:type="auto"/>
            <w:vAlign w:val="center"/>
            <w:hideMark/>
          </w:tcPr>
          <w:p w14:paraId="14B6022E" w14:textId="77777777" w:rsidR="009E399B" w:rsidRPr="009E399B" w:rsidRDefault="009E399B" w:rsidP="009E399B">
            <w:pPr>
              <w:rPr>
                <w:rFonts w:ascii="Times New Roman" w:hAnsi="Times New Roman" w:cs="Times New Roman"/>
                <w:lang w:val="ru-RU"/>
              </w:rPr>
            </w:pPr>
            <w:r w:rsidRPr="009E399B">
              <w:rPr>
                <w:rFonts w:ascii="Times New Roman" w:hAnsi="Times New Roman" w:cs="Times New Roman"/>
                <w:lang w:val="ru-RU"/>
              </w:rPr>
              <w:t>Жабык акционердик коом «Кумтөр Голд Компани»</w:t>
            </w:r>
          </w:p>
        </w:tc>
      </w:tr>
      <w:tr w:rsidR="009E399B" w:rsidRPr="009E399B" w14:paraId="196EABF4" w14:textId="77777777" w:rsidTr="009E399B">
        <w:trPr>
          <w:tblCellSpacing w:w="15" w:type="dxa"/>
        </w:trPr>
        <w:tc>
          <w:tcPr>
            <w:tcW w:w="0" w:type="auto"/>
            <w:vAlign w:val="center"/>
            <w:hideMark/>
          </w:tcPr>
          <w:p w14:paraId="79C7D13F"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3</w:t>
            </w:r>
          </w:p>
        </w:tc>
        <w:tc>
          <w:tcPr>
            <w:tcW w:w="0" w:type="auto"/>
            <w:vAlign w:val="center"/>
            <w:hideMark/>
          </w:tcPr>
          <w:p w14:paraId="01B34810"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Кызмат көрсөтүү жери</w:t>
            </w:r>
          </w:p>
        </w:tc>
        <w:tc>
          <w:tcPr>
            <w:tcW w:w="0" w:type="auto"/>
            <w:vAlign w:val="center"/>
            <w:hideMark/>
          </w:tcPr>
          <w:p w14:paraId="55E0501F"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Жөнөтмөлөрдү кабыл алуу төмөнкү дарек боюнча жүргүзүлөт: 720031, Кыргыз Республикасы, Бишкек шаары, Ибраимова көчөсү, 24-үй</w:t>
            </w:r>
          </w:p>
        </w:tc>
      </w:tr>
      <w:tr w:rsidR="009E399B" w:rsidRPr="009E399B" w14:paraId="2BD2AC3D" w14:textId="77777777" w:rsidTr="009E399B">
        <w:trPr>
          <w:tblCellSpacing w:w="15" w:type="dxa"/>
        </w:trPr>
        <w:tc>
          <w:tcPr>
            <w:tcW w:w="0" w:type="auto"/>
            <w:vAlign w:val="center"/>
            <w:hideMark/>
          </w:tcPr>
          <w:p w14:paraId="45C76F54"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4</w:t>
            </w:r>
          </w:p>
        </w:tc>
        <w:tc>
          <w:tcPr>
            <w:tcW w:w="0" w:type="auto"/>
            <w:vAlign w:val="center"/>
            <w:hideMark/>
          </w:tcPr>
          <w:p w14:paraId="0F06D27E"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Кызмат көрсөтүү мөөнөттөрү</w:t>
            </w:r>
          </w:p>
        </w:tc>
        <w:tc>
          <w:tcPr>
            <w:tcW w:w="0" w:type="auto"/>
            <w:vAlign w:val="center"/>
            <w:hideMark/>
          </w:tcPr>
          <w:p w14:paraId="13C5F19C"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Келишим түзүлгөн күндөн тартып 12 (он эки) ай мөөнөткө, тараптардын макулдашуусу менен узартуу мүмкүнчүлүгү менен</w:t>
            </w:r>
          </w:p>
        </w:tc>
      </w:tr>
      <w:tr w:rsidR="009E399B" w:rsidRPr="009E399B" w14:paraId="42DCAB55" w14:textId="77777777" w:rsidTr="009E399B">
        <w:trPr>
          <w:tblCellSpacing w:w="15" w:type="dxa"/>
        </w:trPr>
        <w:tc>
          <w:tcPr>
            <w:tcW w:w="0" w:type="auto"/>
            <w:vAlign w:val="center"/>
            <w:hideMark/>
          </w:tcPr>
          <w:p w14:paraId="4C266D56"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5</w:t>
            </w:r>
          </w:p>
        </w:tc>
        <w:tc>
          <w:tcPr>
            <w:tcW w:w="0" w:type="auto"/>
            <w:vAlign w:val="center"/>
            <w:hideMark/>
          </w:tcPr>
          <w:p w14:paraId="793D5986"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Жеткирүү географиясы</w:t>
            </w:r>
          </w:p>
        </w:tc>
        <w:tc>
          <w:tcPr>
            <w:tcW w:w="0" w:type="auto"/>
            <w:vAlign w:val="center"/>
            <w:hideMark/>
          </w:tcPr>
          <w:p w14:paraId="41A06F5A"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Кыргыз Республикасынын бардык аймактары боюнча; Казакстан Республикасы; Россия Федерациясы (анын бардык субъектилерин кошкондо); Көз карандысыз Мамлекеттер Шериктештигинин өлкөлөрү; алыскы чет өлкөлөр (кааланган); алыскы калктуу конуштарга жеткирүү мүмкүнчүлүгү</w:t>
            </w:r>
          </w:p>
        </w:tc>
      </w:tr>
      <w:tr w:rsidR="009E399B" w:rsidRPr="009E399B" w14:paraId="6B650766" w14:textId="77777777" w:rsidTr="009E399B">
        <w:trPr>
          <w:tblCellSpacing w:w="15" w:type="dxa"/>
        </w:trPr>
        <w:tc>
          <w:tcPr>
            <w:tcW w:w="0" w:type="auto"/>
            <w:vAlign w:val="center"/>
            <w:hideMark/>
          </w:tcPr>
          <w:p w14:paraId="26A5BB57"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6</w:t>
            </w:r>
          </w:p>
        </w:tc>
        <w:tc>
          <w:tcPr>
            <w:tcW w:w="0" w:type="auto"/>
            <w:vAlign w:val="center"/>
            <w:hideMark/>
          </w:tcPr>
          <w:p w14:paraId="3F10BBD1"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Жеткирүү мөөнөттөрү</w:t>
            </w:r>
          </w:p>
        </w:tc>
        <w:tc>
          <w:tcPr>
            <w:tcW w:w="0" w:type="auto"/>
            <w:vAlign w:val="center"/>
            <w:hideMark/>
          </w:tcPr>
          <w:p w14:paraId="00021826"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Аткаруучу жөнөтмөлөрдү «эшиктен эшикке» принциби боюнча, даректүү бланкта көрсөтүлгөн дарек боюнча жеткирет. Жеткирүү мөөнөттөрү: шаар ичинде — 1 күнгө чейин; жөнөтүлгөн өлкөнүн ичинде — 4 күнгө чейин; Көз карандысыз Мамлекеттер Шериктештигине — 7 күнгө чейин. Жеткирүү мөөнөтү жөнөтмө курьер тарабынан кабыл алынган күндөн кийинки жумуш күндөн баштап эсептелет. Жеткирүү алуучунун өкүлүнө дарек боюнча берилет. Мамлекеттик жана майрамдык эс алуу күндөрү эсепке алынбайт.</w:t>
            </w:r>
          </w:p>
        </w:tc>
      </w:tr>
      <w:tr w:rsidR="009E399B" w:rsidRPr="009E399B" w14:paraId="195C7666" w14:textId="77777777" w:rsidTr="009E399B">
        <w:trPr>
          <w:tblCellSpacing w:w="15" w:type="dxa"/>
        </w:trPr>
        <w:tc>
          <w:tcPr>
            <w:tcW w:w="0" w:type="auto"/>
            <w:vAlign w:val="center"/>
            <w:hideMark/>
          </w:tcPr>
          <w:p w14:paraId="1DD9CA98"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7</w:t>
            </w:r>
          </w:p>
        </w:tc>
        <w:tc>
          <w:tcPr>
            <w:tcW w:w="0" w:type="auto"/>
            <w:vAlign w:val="center"/>
            <w:hideMark/>
          </w:tcPr>
          <w:p w14:paraId="473DF845"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Кызмат көрсөтүүнүн негизги шарттары</w:t>
            </w:r>
          </w:p>
        </w:tc>
        <w:tc>
          <w:tcPr>
            <w:tcW w:w="0" w:type="auto"/>
            <w:vAlign w:val="center"/>
            <w:hideMark/>
          </w:tcPr>
          <w:p w14:paraId="2F6A3ABF"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 xml:space="preserve">Жөнөтүүгө тыюу салынбаган жүктөр кабыл алынат. Жеткирүү иш күндөрү жүргүзүлөт. Аткаруучу кабыл алуу, иштетүү жана жеткирүү процесстерин камсыз кылат. Жөнөтмөлөр жабык түрдө кабыл алынат жана мазмуну текшерилбейт. Дарек өзгөргөн учурда кошумча жеткирүү макулдашуу менен </w:t>
            </w:r>
            <w:r w:rsidRPr="009E399B">
              <w:rPr>
                <w:rFonts w:ascii="Times New Roman" w:hAnsi="Times New Roman" w:cs="Times New Roman"/>
              </w:rPr>
              <w:lastRenderedPageBreak/>
              <w:t>жүргүзүлөт. Жеткирүү мүмкүн болбогондо Заказчыга дароо маалымдалат.</w:t>
            </w:r>
          </w:p>
        </w:tc>
      </w:tr>
      <w:tr w:rsidR="009E399B" w:rsidRPr="009118DC" w14:paraId="527C6E78" w14:textId="77777777" w:rsidTr="009E399B">
        <w:trPr>
          <w:tblCellSpacing w:w="15" w:type="dxa"/>
        </w:trPr>
        <w:tc>
          <w:tcPr>
            <w:tcW w:w="0" w:type="auto"/>
            <w:vAlign w:val="center"/>
            <w:hideMark/>
          </w:tcPr>
          <w:p w14:paraId="0B36E5B3"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lastRenderedPageBreak/>
              <w:t>8</w:t>
            </w:r>
          </w:p>
        </w:tc>
        <w:tc>
          <w:tcPr>
            <w:tcW w:w="0" w:type="auto"/>
            <w:vAlign w:val="center"/>
            <w:hideMark/>
          </w:tcPr>
          <w:p w14:paraId="5416B1CF"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Кызматтарды аткарууга жалпы талаптар</w:t>
            </w:r>
          </w:p>
        </w:tc>
        <w:tc>
          <w:tcPr>
            <w:tcW w:w="0" w:type="auto"/>
            <w:vAlign w:val="center"/>
            <w:hideMark/>
          </w:tcPr>
          <w:p w14:paraId="05B02B5E" w14:textId="77777777" w:rsidR="009E399B" w:rsidRPr="009E399B" w:rsidRDefault="009E399B" w:rsidP="009E399B">
            <w:pPr>
              <w:rPr>
                <w:rFonts w:ascii="Times New Roman" w:hAnsi="Times New Roman" w:cs="Times New Roman"/>
                <w:lang w:val="ru-RU"/>
              </w:rPr>
            </w:pPr>
            <w:r w:rsidRPr="009E399B">
              <w:rPr>
                <w:rFonts w:ascii="Times New Roman" w:hAnsi="Times New Roman" w:cs="Times New Roman"/>
              </w:rPr>
              <w:t xml:space="preserve">Салмагы 0,10 килограммдан баштап жөнөтмөлөр кабыл алынат. </w:t>
            </w:r>
            <w:r w:rsidRPr="009E399B">
              <w:rPr>
                <w:rFonts w:ascii="Times New Roman" w:hAnsi="Times New Roman" w:cs="Times New Roman"/>
                <w:lang w:val="ru-RU"/>
              </w:rPr>
              <w:t>Курьер алдын ала чалуу жүргүзөт. Жөнөтүүлөрдүн сакталуусу жана коопсуздугу кепилденет. Купуялуулук сакталат. «Эшиктен эшикке» жеткирүү камсыздалат. Кыска мөөнөттө жеткирүү камсыздалат. Жөнөтмөлөрдү көзөмөлдөө мүмкүнчүлүгү каралат. Таңгак жана коштоочу документтер берилет.</w:t>
            </w:r>
          </w:p>
        </w:tc>
      </w:tr>
      <w:tr w:rsidR="009E399B" w:rsidRPr="009118DC" w14:paraId="6EFFB81A" w14:textId="77777777" w:rsidTr="009E399B">
        <w:trPr>
          <w:tblCellSpacing w:w="15" w:type="dxa"/>
        </w:trPr>
        <w:tc>
          <w:tcPr>
            <w:tcW w:w="0" w:type="auto"/>
            <w:vAlign w:val="center"/>
            <w:hideMark/>
          </w:tcPr>
          <w:p w14:paraId="0AA6C9B7"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9</w:t>
            </w:r>
          </w:p>
        </w:tc>
        <w:tc>
          <w:tcPr>
            <w:tcW w:w="0" w:type="auto"/>
            <w:vAlign w:val="center"/>
            <w:hideMark/>
          </w:tcPr>
          <w:p w14:paraId="3B9515F9"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Баалар жана тарифтер</w:t>
            </w:r>
          </w:p>
        </w:tc>
        <w:tc>
          <w:tcPr>
            <w:tcW w:w="0" w:type="auto"/>
            <w:vAlign w:val="center"/>
            <w:hideMark/>
          </w:tcPr>
          <w:p w14:paraId="6178B68A" w14:textId="77777777" w:rsidR="009E399B" w:rsidRPr="009E399B" w:rsidRDefault="009E399B" w:rsidP="009E399B">
            <w:pPr>
              <w:rPr>
                <w:rFonts w:ascii="Times New Roman" w:hAnsi="Times New Roman" w:cs="Times New Roman"/>
                <w:lang w:val="ru-RU"/>
              </w:rPr>
            </w:pPr>
            <w:r w:rsidRPr="009E399B">
              <w:rPr>
                <w:rFonts w:ascii="Times New Roman" w:hAnsi="Times New Roman" w:cs="Times New Roman"/>
                <w:lang w:val="ru-RU"/>
              </w:rPr>
              <w:t>Тарифтер салмак категориялары жана жеткирүү багыттары боюнча так бөлүнүшү керек. Стандарттык тарифтик сеткада көрсөтүлбөгөн калктуу пункттар үчүн өзүнчө тарифтер көрсөтүлөт. Баага бардык салыктар жана кошумча кызматтар киргизилет. Алматы жана Москва шаарларына жеткирүү боюнча үлгү эсептер көрсөтүлүшү керек.</w:t>
            </w:r>
          </w:p>
        </w:tc>
      </w:tr>
      <w:tr w:rsidR="009E399B" w:rsidRPr="009E399B" w14:paraId="727D9547" w14:textId="77777777" w:rsidTr="009E399B">
        <w:trPr>
          <w:tblCellSpacing w:w="15" w:type="dxa"/>
        </w:trPr>
        <w:tc>
          <w:tcPr>
            <w:tcW w:w="0" w:type="auto"/>
            <w:vAlign w:val="center"/>
            <w:hideMark/>
          </w:tcPr>
          <w:p w14:paraId="6346B3D5"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10</w:t>
            </w:r>
          </w:p>
        </w:tc>
        <w:tc>
          <w:tcPr>
            <w:tcW w:w="0" w:type="auto"/>
            <w:vAlign w:val="center"/>
            <w:hideMark/>
          </w:tcPr>
          <w:p w14:paraId="2A6DCBEB"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Аткаруучуга талаптар</w:t>
            </w:r>
          </w:p>
        </w:tc>
        <w:tc>
          <w:tcPr>
            <w:tcW w:w="0" w:type="auto"/>
            <w:vAlign w:val="center"/>
            <w:hideMark/>
          </w:tcPr>
          <w:p w14:paraId="5134D288"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 xml:space="preserve">Жөнөтмөлөрдү иш күндөрү саат 08:00дөн 17:00гө чейин кабыл алуу. </w:t>
            </w:r>
            <w:r w:rsidRPr="009E399B">
              <w:rPr>
                <w:rFonts w:ascii="Times New Roman" w:hAnsi="Times New Roman" w:cs="Times New Roman"/>
                <w:lang w:val="ru-RU"/>
              </w:rPr>
              <w:t xml:space="preserve">Зарыл учурда башка даректерден кабыл алуу мүмкүнчүлүгү. Жөнөтмөлөрдү ошол эле күнү жөнөтүү. Майрам жана дем алыш күндөрү кызмат көрсөтүү мүмкүнчүлүгү. Жөнөтмөлөрдү реалдуу убакыт режиминде көзөмөлдөө системасы болушу керек. Курьердик кызмат алуучуга түз жеткирүү менен жүргүзүлөт. Таңгакка атайын белгилерди коюу мүмкүнчүлүгү. Жөнөтмөлөрдүн жайгашкан жери тууралуу маалымат берүү. Кайра жеткирүү мүмкүнчүлүгү. Отчет берүү (жазуу жүзүндө же электрондук түрдө). Жеткирүү фактысын тастыктаган документтерди берүү. Жеке маалыматтардын купуялуулугун сактоо. Бардык транспорт түрлөрүн колдонуу мүмкүнчүлүгү. </w:t>
            </w:r>
            <w:r w:rsidRPr="009E399B">
              <w:rPr>
                <w:rFonts w:ascii="Times New Roman" w:hAnsi="Times New Roman" w:cs="Times New Roman"/>
              </w:rPr>
              <w:t>Жеке менеджердин болушу.</w:t>
            </w:r>
          </w:p>
        </w:tc>
      </w:tr>
      <w:tr w:rsidR="009E399B" w:rsidRPr="009E399B" w14:paraId="533E7918" w14:textId="77777777" w:rsidTr="009E399B">
        <w:trPr>
          <w:tblCellSpacing w:w="15" w:type="dxa"/>
        </w:trPr>
        <w:tc>
          <w:tcPr>
            <w:tcW w:w="0" w:type="auto"/>
            <w:vAlign w:val="center"/>
            <w:hideMark/>
          </w:tcPr>
          <w:p w14:paraId="56D4B7E2"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11</w:t>
            </w:r>
          </w:p>
        </w:tc>
        <w:tc>
          <w:tcPr>
            <w:tcW w:w="0" w:type="auto"/>
            <w:vAlign w:val="center"/>
            <w:hideMark/>
          </w:tcPr>
          <w:p w14:paraId="399F32F1"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Тапшыруу жана төлөө тартиби</w:t>
            </w:r>
          </w:p>
        </w:tc>
        <w:tc>
          <w:tcPr>
            <w:tcW w:w="0" w:type="auto"/>
            <w:vAlign w:val="center"/>
            <w:hideMark/>
          </w:tcPr>
          <w:p w14:paraId="2B721939"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Кызмат көрсөтүлгөндөн кийин кол коюлган аткарылган иштердин актысынын негизинде төлөм жүргүзүлөт. Төлөм эсеп-фактура берилгенден кийин айына бир жолу жүргүзүлөт.</w:t>
            </w:r>
          </w:p>
        </w:tc>
      </w:tr>
      <w:tr w:rsidR="009E399B" w:rsidRPr="009118DC" w14:paraId="28F7D1C8" w14:textId="77777777" w:rsidTr="009E399B">
        <w:trPr>
          <w:tblCellSpacing w:w="15" w:type="dxa"/>
        </w:trPr>
        <w:tc>
          <w:tcPr>
            <w:tcW w:w="0" w:type="auto"/>
            <w:vAlign w:val="center"/>
            <w:hideMark/>
          </w:tcPr>
          <w:p w14:paraId="1EB8824F"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12</w:t>
            </w:r>
          </w:p>
        </w:tc>
        <w:tc>
          <w:tcPr>
            <w:tcW w:w="0" w:type="auto"/>
            <w:vAlign w:val="center"/>
            <w:hideMark/>
          </w:tcPr>
          <w:p w14:paraId="276BDC74" w14:textId="77777777" w:rsidR="009E399B" w:rsidRPr="009E399B" w:rsidRDefault="009E399B" w:rsidP="009E399B">
            <w:pPr>
              <w:rPr>
                <w:rFonts w:ascii="Times New Roman" w:hAnsi="Times New Roman" w:cs="Times New Roman"/>
              </w:rPr>
            </w:pPr>
            <w:r w:rsidRPr="009E399B">
              <w:rPr>
                <w:rFonts w:ascii="Times New Roman" w:hAnsi="Times New Roman" w:cs="Times New Roman"/>
              </w:rPr>
              <w:t>Квалификациялык талаптар</w:t>
            </w:r>
          </w:p>
        </w:tc>
        <w:tc>
          <w:tcPr>
            <w:tcW w:w="0" w:type="auto"/>
            <w:vAlign w:val="center"/>
            <w:hideMark/>
          </w:tcPr>
          <w:p w14:paraId="6FF51A1E" w14:textId="77777777" w:rsidR="009E399B" w:rsidRPr="009E399B" w:rsidRDefault="009E399B" w:rsidP="009E399B">
            <w:pPr>
              <w:rPr>
                <w:rFonts w:ascii="Times New Roman" w:hAnsi="Times New Roman" w:cs="Times New Roman"/>
                <w:lang w:val="ru-RU"/>
              </w:rPr>
            </w:pPr>
            <w:r w:rsidRPr="009E399B">
              <w:rPr>
                <w:rFonts w:ascii="Times New Roman" w:hAnsi="Times New Roman" w:cs="Times New Roman"/>
                <w:lang w:val="ru-RU"/>
              </w:rPr>
              <w:t xml:space="preserve">Аткаруучу юридикалык жак же жеке ишкер болушу керек. Курьердик кызмат көрсөтүү боюнча кеминде 3 жылдык тажрыйбасы болушу керек. Кызмат көрсөтүү үчүн жетиштүү </w:t>
            </w:r>
            <w:r w:rsidRPr="009E399B">
              <w:rPr>
                <w:rFonts w:ascii="Times New Roman" w:hAnsi="Times New Roman" w:cs="Times New Roman"/>
                <w:lang w:val="ru-RU"/>
              </w:rPr>
              <w:lastRenderedPageBreak/>
              <w:t>материалдык, транспорттук жана эмгек ресурстары болушу керек.</w:t>
            </w:r>
          </w:p>
        </w:tc>
      </w:tr>
    </w:tbl>
    <w:p w14:paraId="7C2C606D" w14:textId="671C9C21" w:rsidR="009E399B" w:rsidRPr="009E399B" w:rsidRDefault="009118DC">
      <w:pPr>
        <w:rPr>
          <w:rFonts w:ascii="Times New Roman" w:hAnsi="Times New Roman" w:cs="Times New Roman"/>
          <w:lang w:val="ru-RU"/>
        </w:rPr>
      </w:pPr>
      <w:r>
        <w:rPr>
          <w:rFonts w:ascii="Times New Roman" w:hAnsi="Times New Roman" w:cs="Times New Roman"/>
        </w:rPr>
        <w:lastRenderedPageBreak/>
        <w:pict w14:anchorId="4124A62C">
          <v:rect id="_x0000_i1025" style="width:0;height:1.5pt" o:hralign="center" o:hrstd="t" o:hr="t" fillcolor="#a0a0a0" stroked="f"/>
        </w:pict>
      </w:r>
    </w:p>
    <w:sectPr w:rsidR="009E399B" w:rsidRPr="009E399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2398D"/>
    <w:multiLevelType w:val="multilevel"/>
    <w:tmpl w:val="10D8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29632F"/>
    <w:multiLevelType w:val="multilevel"/>
    <w:tmpl w:val="AA809F4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134"/>
    <w:rsid w:val="0007798B"/>
    <w:rsid w:val="001F1504"/>
    <w:rsid w:val="00201C93"/>
    <w:rsid w:val="003A2964"/>
    <w:rsid w:val="004C5134"/>
    <w:rsid w:val="00567E0D"/>
    <w:rsid w:val="006C2DFB"/>
    <w:rsid w:val="00754BEB"/>
    <w:rsid w:val="008C3B00"/>
    <w:rsid w:val="009118DC"/>
    <w:rsid w:val="009E399B"/>
    <w:rsid w:val="00C76539"/>
    <w:rsid w:val="00C9324D"/>
    <w:rsid w:val="00D5082E"/>
    <w:rsid w:val="00FF3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E9EF"/>
  <w15:chartTrackingRefBased/>
  <w15:docId w15:val="{7D7CDB50-9486-40EB-AD35-7E79551F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C5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C5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C513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C513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C513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C51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51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51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51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513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C513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C513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C513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C513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C513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5134"/>
    <w:rPr>
      <w:rFonts w:eastAsiaTheme="majorEastAsia" w:cstheme="majorBidi"/>
      <w:color w:val="595959" w:themeColor="text1" w:themeTint="A6"/>
    </w:rPr>
  </w:style>
  <w:style w:type="character" w:customStyle="1" w:styleId="80">
    <w:name w:val="Заголовок 8 Знак"/>
    <w:basedOn w:val="a0"/>
    <w:link w:val="8"/>
    <w:uiPriority w:val="9"/>
    <w:semiHidden/>
    <w:rsid w:val="004C513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5134"/>
    <w:rPr>
      <w:rFonts w:eastAsiaTheme="majorEastAsia" w:cstheme="majorBidi"/>
      <w:color w:val="272727" w:themeColor="text1" w:themeTint="D8"/>
    </w:rPr>
  </w:style>
  <w:style w:type="paragraph" w:styleId="a3">
    <w:name w:val="Title"/>
    <w:basedOn w:val="a"/>
    <w:next w:val="a"/>
    <w:link w:val="a4"/>
    <w:uiPriority w:val="10"/>
    <w:qFormat/>
    <w:rsid w:val="004C5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C51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13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C513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C5134"/>
    <w:pPr>
      <w:spacing w:before="160"/>
      <w:jc w:val="center"/>
    </w:pPr>
    <w:rPr>
      <w:i/>
      <w:iCs/>
      <w:color w:val="404040" w:themeColor="text1" w:themeTint="BF"/>
    </w:rPr>
  </w:style>
  <w:style w:type="character" w:customStyle="1" w:styleId="22">
    <w:name w:val="Цитата 2 Знак"/>
    <w:basedOn w:val="a0"/>
    <w:link w:val="21"/>
    <w:uiPriority w:val="29"/>
    <w:rsid w:val="004C5134"/>
    <w:rPr>
      <w:i/>
      <w:iCs/>
      <w:color w:val="404040" w:themeColor="text1" w:themeTint="BF"/>
    </w:rPr>
  </w:style>
  <w:style w:type="paragraph" w:styleId="a7">
    <w:name w:val="List Paragraph"/>
    <w:basedOn w:val="a"/>
    <w:uiPriority w:val="34"/>
    <w:qFormat/>
    <w:rsid w:val="004C5134"/>
    <w:pPr>
      <w:ind w:left="720"/>
      <w:contextualSpacing/>
    </w:pPr>
  </w:style>
  <w:style w:type="character" w:styleId="a8">
    <w:name w:val="Intense Emphasis"/>
    <w:basedOn w:val="a0"/>
    <w:uiPriority w:val="21"/>
    <w:qFormat/>
    <w:rsid w:val="004C5134"/>
    <w:rPr>
      <w:i/>
      <w:iCs/>
      <w:color w:val="0F4761" w:themeColor="accent1" w:themeShade="BF"/>
    </w:rPr>
  </w:style>
  <w:style w:type="paragraph" w:styleId="a9">
    <w:name w:val="Intense Quote"/>
    <w:basedOn w:val="a"/>
    <w:next w:val="a"/>
    <w:link w:val="aa"/>
    <w:uiPriority w:val="30"/>
    <w:qFormat/>
    <w:rsid w:val="004C5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C5134"/>
    <w:rPr>
      <w:i/>
      <w:iCs/>
      <w:color w:val="0F4761" w:themeColor="accent1" w:themeShade="BF"/>
    </w:rPr>
  </w:style>
  <w:style w:type="character" w:styleId="ab">
    <w:name w:val="Intense Reference"/>
    <w:basedOn w:val="a0"/>
    <w:uiPriority w:val="32"/>
    <w:qFormat/>
    <w:rsid w:val="004C5134"/>
    <w:rPr>
      <w:b/>
      <w:bCs/>
      <w:smallCaps/>
      <w:color w:val="0F4761" w:themeColor="accent1" w:themeShade="BF"/>
      <w:spacing w:val="5"/>
    </w:rPr>
  </w:style>
  <w:style w:type="character" w:styleId="ac">
    <w:name w:val="Hyperlink"/>
    <w:basedOn w:val="a0"/>
    <w:uiPriority w:val="99"/>
    <w:semiHidden/>
    <w:unhideWhenUsed/>
    <w:rsid w:val="00567E0D"/>
    <w:rPr>
      <w:strike w:val="0"/>
      <w:dstrike w:val="0"/>
      <w:color w:val="464FEB"/>
      <w:u w:val="none"/>
      <w:effect w:val="none"/>
    </w:rPr>
  </w:style>
  <w:style w:type="paragraph" w:styleId="ad">
    <w:name w:val="Normal (Web)"/>
    <w:basedOn w:val="a"/>
    <w:uiPriority w:val="99"/>
    <w:semiHidden/>
    <w:unhideWhenUsed/>
    <w:rsid w:val="00567E0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e">
    <w:name w:val="Strong"/>
    <w:basedOn w:val="a0"/>
    <w:uiPriority w:val="22"/>
    <w:qFormat/>
    <w:rsid w:val="00567E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Turatbekov</dc:creator>
  <cp:keywords/>
  <dc:description/>
  <cp:lastModifiedBy>IT Restart</cp:lastModifiedBy>
  <cp:revision>12</cp:revision>
  <dcterms:created xsi:type="dcterms:W3CDTF">2026-06-25T05:28:00Z</dcterms:created>
  <dcterms:modified xsi:type="dcterms:W3CDTF">2026-06-26T07:05:00Z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2026-06-25T05:33:46Z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e88cadea-fae1-442f-94a3-9e36d80b4afe</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