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474B" w14:textId="572283A1" w:rsidR="00CA5EF7" w:rsidRPr="0060265E" w:rsidRDefault="00CA5EF7" w:rsidP="00CA5EF7">
      <w:pPr>
        <w:jc w:val="center"/>
        <w:rPr>
          <w:b/>
          <w:bCs/>
          <w:sz w:val="28"/>
          <w:szCs w:val="28"/>
        </w:rPr>
      </w:pPr>
      <w:r w:rsidRPr="0060265E">
        <w:rPr>
          <w:b/>
          <w:bCs/>
          <w:sz w:val="28"/>
          <w:szCs w:val="28"/>
        </w:rPr>
        <w:t xml:space="preserve">2025-жылдагы </w:t>
      </w:r>
      <w:proofErr w:type="spellStart"/>
      <w:r w:rsidRPr="0060265E">
        <w:rPr>
          <w:b/>
          <w:bCs/>
          <w:sz w:val="28"/>
          <w:szCs w:val="28"/>
        </w:rPr>
        <w:t>өндүрүш</w:t>
      </w:r>
      <w:proofErr w:type="spellEnd"/>
      <w:r w:rsidRPr="0060265E">
        <w:rPr>
          <w:b/>
          <w:bCs/>
          <w:sz w:val="28"/>
          <w:szCs w:val="28"/>
        </w:rPr>
        <w:t xml:space="preserve"> </w:t>
      </w:r>
      <w:proofErr w:type="spellStart"/>
      <w:r w:rsidRPr="0060265E">
        <w:rPr>
          <w:b/>
          <w:bCs/>
          <w:sz w:val="28"/>
          <w:szCs w:val="28"/>
        </w:rPr>
        <w:t>жыйынтыктары</w:t>
      </w:r>
      <w:proofErr w:type="spellEnd"/>
      <w:r w:rsidRPr="0060265E">
        <w:rPr>
          <w:b/>
          <w:bCs/>
          <w:sz w:val="28"/>
          <w:szCs w:val="28"/>
        </w:rPr>
        <w:tab/>
      </w:r>
    </w:p>
    <w:p w14:paraId="4159E395" w14:textId="77777777" w:rsidR="00CA5EF7" w:rsidRPr="0060265E" w:rsidRDefault="00CA5EF7" w:rsidP="00CA5EF7">
      <w:pPr>
        <w:ind w:firstLine="720"/>
        <w:jc w:val="both"/>
      </w:pPr>
      <w:r w:rsidRPr="0060265E">
        <w:rPr>
          <w:b/>
          <w:bCs/>
          <w:sz w:val="28"/>
          <w:szCs w:val="28"/>
        </w:rPr>
        <w:tab/>
      </w:r>
    </w:p>
    <w:p w14:paraId="307CB514" w14:textId="77777777" w:rsidR="00CA5EF7" w:rsidRPr="0060265E" w:rsidRDefault="00CA5EF7" w:rsidP="00CA5EF7">
      <w:pPr>
        <w:jc w:val="center"/>
        <w:rPr>
          <w:color w:val="0070C0"/>
          <w:sz w:val="16"/>
          <w:szCs w:val="16"/>
        </w:rPr>
      </w:pPr>
    </w:p>
    <w:p w14:paraId="3B3B93F6" w14:textId="5CBE50D6" w:rsidR="00CA5EF7" w:rsidRPr="0060265E" w:rsidRDefault="00700AD6" w:rsidP="00CA5EF7">
      <w:pPr>
        <w:jc w:val="both"/>
        <w:rPr>
          <w:b/>
          <w:bCs/>
          <w:i/>
          <w:iCs/>
        </w:rPr>
      </w:pPr>
      <w:r w:rsidRPr="0060265E">
        <w:rPr>
          <w:b/>
          <w:bCs/>
          <w:i/>
          <w:iCs/>
        </w:rPr>
        <w:t>«</w:t>
      </w:r>
      <w:r w:rsidRPr="0060265E">
        <w:rPr>
          <w:b/>
          <w:bCs/>
          <w:i/>
          <w:iCs/>
          <w:lang w:val="ky-KG"/>
        </w:rPr>
        <w:t>Кумтөр Голд Компани</w:t>
      </w:r>
      <w:r w:rsidRPr="0060265E">
        <w:rPr>
          <w:b/>
          <w:bCs/>
          <w:i/>
          <w:iCs/>
        </w:rPr>
        <w:t>»</w:t>
      </w:r>
      <w:r w:rsidRPr="0060265E">
        <w:rPr>
          <w:b/>
          <w:bCs/>
          <w:i/>
          <w:iCs/>
          <w:lang w:val="ky-KG"/>
        </w:rPr>
        <w:t xml:space="preserve"> Ж</w:t>
      </w:r>
      <w:r w:rsidR="00CA5EF7" w:rsidRPr="0060265E">
        <w:rPr>
          <w:b/>
          <w:bCs/>
          <w:i/>
          <w:iCs/>
        </w:rPr>
        <w:t>АК (</w:t>
      </w:r>
      <w:proofErr w:type="spellStart"/>
      <w:r w:rsidR="00CA5EF7" w:rsidRPr="0060265E">
        <w:rPr>
          <w:b/>
          <w:bCs/>
          <w:i/>
          <w:iCs/>
        </w:rPr>
        <w:t>мындан</w:t>
      </w:r>
      <w:proofErr w:type="spellEnd"/>
      <w:r w:rsidR="00CA5EF7" w:rsidRPr="0060265E">
        <w:rPr>
          <w:b/>
          <w:bCs/>
          <w:i/>
          <w:iCs/>
        </w:rPr>
        <w:t xml:space="preserve"> ары </w:t>
      </w:r>
      <w:r w:rsidRPr="0060265E">
        <w:rPr>
          <w:b/>
          <w:bCs/>
          <w:i/>
          <w:iCs/>
        </w:rPr>
        <w:t>«КГК»</w:t>
      </w:r>
      <w:r w:rsidR="00CA5EF7" w:rsidRPr="0060265E">
        <w:rPr>
          <w:b/>
          <w:bCs/>
          <w:i/>
          <w:iCs/>
        </w:rPr>
        <w:t xml:space="preserve">) 2025-жылдагы </w:t>
      </w:r>
      <w:proofErr w:type="spellStart"/>
      <w:r w:rsidR="00CA5EF7" w:rsidRPr="0060265E">
        <w:rPr>
          <w:b/>
          <w:bCs/>
          <w:i/>
          <w:iCs/>
        </w:rPr>
        <w:t>иш</w:t>
      </w:r>
      <w:r w:rsidRPr="0060265E">
        <w:rPr>
          <w:b/>
          <w:bCs/>
          <w:i/>
          <w:iCs/>
        </w:rPr>
        <w:t>мерд</w:t>
      </w:r>
      <w:proofErr w:type="spellEnd"/>
      <w:r w:rsidRPr="0060265E">
        <w:rPr>
          <w:b/>
          <w:bCs/>
          <w:i/>
          <w:iCs/>
          <w:lang w:val="ky-KG"/>
        </w:rPr>
        <w:t xml:space="preserve">үүлүгүнүн </w:t>
      </w:r>
      <w:proofErr w:type="spellStart"/>
      <w:r w:rsidR="00CA5EF7" w:rsidRPr="0060265E">
        <w:rPr>
          <w:b/>
          <w:bCs/>
          <w:i/>
          <w:iCs/>
        </w:rPr>
        <w:t>жыйынтыктарын</w:t>
      </w:r>
      <w:proofErr w:type="spellEnd"/>
      <w:r w:rsidR="00CA5EF7" w:rsidRPr="0060265E">
        <w:rPr>
          <w:b/>
          <w:bCs/>
          <w:i/>
          <w:iCs/>
        </w:rPr>
        <w:t xml:space="preserve"> </w:t>
      </w:r>
      <w:r w:rsidRPr="0060265E">
        <w:rPr>
          <w:b/>
          <w:bCs/>
          <w:i/>
          <w:iCs/>
          <w:lang w:val="ky-KG"/>
        </w:rPr>
        <w:t>чыгарды</w:t>
      </w:r>
      <w:r w:rsidR="00CA5EF7" w:rsidRPr="0060265E">
        <w:rPr>
          <w:b/>
          <w:bCs/>
          <w:i/>
          <w:iCs/>
        </w:rPr>
        <w:t>. Кумт</w:t>
      </w:r>
      <w:r w:rsidRPr="0060265E">
        <w:rPr>
          <w:b/>
          <w:bCs/>
          <w:i/>
          <w:iCs/>
          <w:lang w:val="ky-KG"/>
        </w:rPr>
        <w:t>ө</w:t>
      </w:r>
      <w:r w:rsidR="00CA5EF7" w:rsidRPr="0060265E">
        <w:rPr>
          <w:b/>
          <w:bCs/>
          <w:i/>
          <w:iCs/>
        </w:rPr>
        <w:t xml:space="preserve">р </w:t>
      </w:r>
      <w:proofErr w:type="spellStart"/>
      <w:r w:rsidR="00CA5EF7" w:rsidRPr="0060265E">
        <w:rPr>
          <w:b/>
          <w:bCs/>
          <w:i/>
          <w:iCs/>
        </w:rPr>
        <w:t>кени</w:t>
      </w:r>
      <w:proofErr w:type="spellEnd"/>
      <w:r w:rsidRPr="0060265E">
        <w:rPr>
          <w:b/>
          <w:bCs/>
          <w:i/>
          <w:iCs/>
          <w:lang w:val="ky-KG"/>
        </w:rPr>
        <w:t>нде</w:t>
      </w:r>
      <w:r w:rsidR="00CA5EF7" w:rsidRPr="0060265E">
        <w:rPr>
          <w:b/>
          <w:bCs/>
          <w:i/>
          <w:iCs/>
        </w:rPr>
        <w:t xml:space="preserve"> 388,418 унция </w:t>
      </w:r>
      <w:proofErr w:type="spellStart"/>
      <w:r w:rsidR="00CA5EF7" w:rsidRPr="0060265E">
        <w:rPr>
          <w:b/>
          <w:bCs/>
          <w:i/>
          <w:iCs/>
        </w:rPr>
        <w:t>өндүргөн</w:t>
      </w:r>
      <w:proofErr w:type="spellEnd"/>
      <w:r w:rsidR="00CA5EF7" w:rsidRPr="0060265E">
        <w:rPr>
          <w:b/>
          <w:bCs/>
          <w:i/>
          <w:iCs/>
        </w:rPr>
        <w:t xml:space="preserve">, </w:t>
      </w:r>
      <w:proofErr w:type="spellStart"/>
      <w:r w:rsidR="00CA5EF7" w:rsidRPr="0060265E">
        <w:rPr>
          <w:b/>
          <w:bCs/>
          <w:i/>
          <w:iCs/>
        </w:rPr>
        <w:t>бул</w:t>
      </w:r>
      <w:proofErr w:type="spellEnd"/>
      <w:r w:rsidR="00CA5EF7" w:rsidRPr="0060265E">
        <w:rPr>
          <w:b/>
          <w:bCs/>
          <w:i/>
          <w:iCs/>
        </w:rPr>
        <w:t xml:space="preserve"> 12,081 кг алтын</w:t>
      </w:r>
      <w:r w:rsidRPr="0060265E">
        <w:rPr>
          <w:b/>
          <w:bCs/>
          <w:i/>
          <w:iCs/>
          <w:lang w:val="ky-KG"/>
        </w:rPr>
        <w:t>ды түзөт</w:t>
      </w:r>
      <w:r w:rsidR="00CA5EF7" w:rsidRPr="0060265E">
        <w:rPr>
          <w:b/>
          <w:bCs/>
          <w:i/>
          <w:iCs/>
        </w:rPr>
        <w:t xml:space="preserve">. 2025-жылга Кыргыз </w:t>
      </w:r>
      <w:proofErr w:type="spellStart"/>
      <w:r w:rsidR="00CA5EF7" w:rsidRPr="0060265E">
        <w:rPr>
          <w:b/>
          <w:bCs/>
          <w:i/>
          <w:iCs/>
        </w:rPr>
        <w:t>Республикасынын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бюджетине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салык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түрүндө</w:t>
      </w:r>
      <w:proofErr w:type="spellEnd"/>
      <w:r w:rsidR="00CA5EF7" w:rsidRPr="0060265E">
        <w:rPr>
          <w:b/>
          <w:bCs/>
          <w:i/>
          <w:iCs/>
        </w:rPr>
        <w:t xml:space="preserve">, Кыргыз </w:t>
      </w:r>
      <w:proofErr w:type="spellStart"/>
      <w:r w:rsidR="00CA5EF7" w:rsidRPr="0060265E">
        <w:rPr>
          <w:b/>
          <w:bCs/>
          <w:i/>
          <w:iCs/>
        </w:rPr>
        <w:t>Республикасынын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Социалдык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фондуна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салымдар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жана</w:t>
      </w:r>
      <w:proofErr w:type="spellEnd"/>
      <w:r w:rsidR="00CA5EF7" w:rsidRPr="0060265E">
        <w:rPr>
          <w:b/>
          <w:bCs/>
          <w:i/>
          <w:iCs/>
        </w:rPr>
        <w:t xml:space="preserve"> Кайра </w:t>
      </w:r>
      <w:proofErr w:type="spellStart"/>
      <w:r w:rsidR="00CA5EF7" w:rsidRPr="0060265E">
        <w:rPr>
          <w:b/>
          <w:bCs/>
          <w:i/>
          <w:iCs/>
        </w:rPr>
        <w:t>каралган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Инвестициялык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Келишимде</w:t>
      </w:r>
      <w:proofErr w:type="spellEnd"/>
      <w:r w:rsidR="00CA5EF7" w:rsidRPr="0060265E">
        <w:rPr>
          <w:b/>
          <w:bCs/>
          <w:i/>
          <w:iCs/>
        </w:rPr>
        <w:t xml:space="preserve"> (</w:t>
      </w:r>
      <w:r w:rsidR="005B2B7C" w:rsidRPr="0060265E">
        <w:rPr>
          <w:b/>
          <w:bCs/>
          <w:i/>
          <w:iCs/>
          <w:lang w:val="ky-KG"/>
        </w:rPr>
        <w:t>ККИК</w:t>
      </w:r>
      <w:r w:rsidR="00CA5EF7" w:rsidRPr="0060265E">
        <w:rPr>
          <w:b/>
          <w:bCs/>
          <w:i/>
          <w:iCs/>
        </w:rPr>
        <w:t xml:space="preserve">) </w:t>
      </w:r>
      <w:proofErr w:type="spellStart"/>
      <w:r w:rsidR="00CA5EF7" w:rsidRPr="0060265E">
        <w:rPr>
          <w:b/>
          <w:bCs/>
          <w:i/>
          <w:iCs/>
        </w:rPr>
        <w:t>каралган</w:t>
      </w:r>
      <w:proofErr w:type="spellEnd"/>
      <w:r w:rsidR="00CA5EF7" w:rsidRPr="0060265E">
        <w:rPr>
          <w:b/>
          <w:bCs/>
          <w:i/>
          <w:iCs/>
        </w:rPr>
        <w:t xml:space="preserve"> башка </w:t>
      </w:r>
      <w:proofErr w:type="spellStart"/>
      <w:r w:rsidR="00CA5EF7" w:rsidRPr="0060265E">
        <w:rPr>
          <w:b/>
          <w:bCs/>
          <w:i/>
          <w:iCs/>
        </w:rPr>
        <w:t>милдеттүү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төлөмдөр</w:t>
      </w:r>
      <w:proofErr w:type="spellEnd"/>
      <w:r w:rsidR="00CA5EF7" w:rsidRPr="0060265E">
        <w:rPr>
          <w:b/>
          <w:bCs/>
          <w:i/>
          <w:iCs/>
        </w:rPr>
        <w:t xml:space="preserve"> 246,507 </w:t>
      </w:r>
      <w:proofErr w:type="spellStart"/>
      <w:r w:rsidR="00CA5EF7" w:rsidRPr="0060265E">
        <w:rPr>
          <w:b/>
          <w:bCs/>
          <w:i/>
          <w:iCs/>
        </w:rPr>
        <w:t>миң</w:t>
      </w:r>
      <w:proofErr w:type="spellEnd"/>
      <w:r w:rsidR="00CA5EF7" w:rsidRPr="0060265E">
        <w:rPr>
          <w:b/>
          <w:bCs/>
          <w:i/>
          <w:iCs/>
        </w:rPr>
        <w:t xml:space="preserve"> АКШ </w:t>
      </w:r>
      <w:proofErr w:type="spellStart"/>
      <w:r w:rsidR="00CA5EF7" w:rsidRPr="0060265E">
        <w:rPr>
          <w:b/>
          <w:bCs/>
          <w:i/>
          <w:iCs/>
        </w:rPr>
        <w:t>долларын</w:t>
      </w:r>
      <w:proofErr w:type="spellEnd"/>
      <w:r w:rsidR="00CA5EF7" w:rsidRPr="0060265E">
        <w:rPr>
          <w:b/>
          <w:bCs/>
          <w:i/>
          <w:iCs/>
        </w:rPr>
        <w:t xml:space="preserve"> </w:t>
      </w:r>
      <w:proofErr w:type="spellStart"/>
      <w:r w:rsidR="00CA5EF7" w:rsidRPr="0060265E">
        <w:rPr>
          <w:b/>
          <w:bCs/>
          <w:i/>
          <w:iCs/>
        </w:rPr>
        <w:t>түздү</w:t>
      </w:r>
      <w:proofErr w:type="spellEnd"/>
      <w:r w:rsidR="00CA5EF7" w:rsidRPr="0060265E">
        <w:rPr>
          <w:b/>
          <w:bCs/>
          <w:i/>
          <w:iCs/>
        </w:rPr>
        <w:t xml:space="preserve"> (21,5 миллиард сом). </w:t>
      </w:r>
    </w:p>
    <w:p w14:paraId="77A81A15" w14:textId="77777777" w:rsidR="00CA5EF7" w:rsidRPr="0060265E" w:rsidRDefault="00CA5EF7" w:rsidP="00CA5EF7">
      <w:pPr>
        <w:jc w:val="both"/>
        <w:rPr>
          <w:b/>
          <w:i/>
        </w:rPr>
      </w:pPr>
    </w:p>
    <w:p w14:paraId="06FD900B" w14:textId="77777777" w:rsidR="00CA5EF7" w:rsidRPr="0060265E" w:rsidRDefault="00CA5EF7" w:rsidP="00CA5EF7">
      <w:pPr>
        <w:jc w:val="both"/>
        <w:rPr>
          <w:b/>
          <w:bCs/>
          <w:i/>
          <w:iCs/>
          <w:sz w:val="16"/>
          <w:szCs w:val="16"/>
        </w:rPr>
      </w:pPr>
    </w:p>
    <w:p w14:paraId="488BA593" w14:textId="120A6246" w:rsidR="00CA5EF7" w:rsidRPr="0060265E" w:rsidRDefault="00CA5EF7" w:rsidP="00CA5EF7">
      <w:pPr>
        <w:pStyle w:val="Default"/>
        <w:spacing w:after="120"/>
        <w:jc w:val="both"/>
        <w:rPr>
          <w:b/>
          <w:bCs/>
          <w:color w:val="auto"/>
          <w:lang w:val="ru-RU"/>
        </w:rPr>
      </w:pPr>
      <w:r w:rsidRPr="0060265E">
        <w:rPr>
          <w:b/>
          <w:bCs/>
          <w:color w:val="auto"/>
          <w:lang w:val="ru-RU"/>
        </w:rPr>
        <w:t xml:space="preserve">2025-жылдагы </w:t>
      </w:r>
      <w:proofErr w:type="spellStart"/>
      <w:r w:rsidR="005B2B7C" w:rsidRPr="0060265E">
        <w:rPr>
          <w:b/>
          <w:bCs/>
          <w:color w:val="auto"/>
          <w:lang w:val="ru-RU"/>
        </w:rPr>
        <w:t>КГКнын</w:t>
      </w:r>
      <w:proofErr w:type="spellEnd"/>
      <w:r w:rsidR="005B2B7C" w:rsidRPr="0060265E">
        <w:rPr>
          <w:b/>
          <w:bCs/>
          <w:color w:val="auto"/>
          <w:lang w:val="ru-RU"/>
        </w:rPr>
        <w:t xml:space="preserve"> </w:t>
      </w:r>
      <w:proofErr w:type="spellStart"/>
      <w:r w:rsidRPr="0060265E">
        <w:rPr>
          <w:b/>
          <w:bCs/>
          <w:color w:val="auto"/>
          <w:lang w:val="ru-RU"/>
        </w:rPr>
        <w:t>ишмердүүлүгүндөгү</w:t>
      </w:r>
      <w:proofErr w:type="spellEnd"/>
      <w:r w:rsidRPr="0060265E">
        <w:rPr>
          <w:b/>
          <w:bCs/>
          <w:color w:val="auto"/>
          <w:lang w:val="ru-RU"/>
        </w:rPr>
        <w:t xml:space="preserve"> </w:t>
      </w:r>
      <w:proofErr w:type="spellStart"/>
      <w:r w:rsidRPr="0060265E">
        <w:rPr>
          <w:b/>
          <w:bCs/>
          <w:color w:val="auto"/>
          <w:lang w:val="ru-RU"/>
        </w:rPr>
        <w:t>маанилүү</w:t>
      </w:r>
      <w:proofErr w:type="spellEnd"/>
      <w:r w:rsidRPr="0060265E">
        <w:rPr>
          <w:b/>
          <w:bCs/>
          <w:color w:val="auto"/>
          <w:lang w:val="ru-RU"/>
        </w:rPr>
        <w:t xml:space="preserve"> </w:t>
      </w:r>
      <w:proofErr w:type="spellStart"/>
      <w:r w:rsidRPr="0060265E">
        <w:rPr>
          <w:b/>
          <w:bCs/>
          <w:color w:val="auto"/>
          <w:lang w:val="ru-RU"/>
        </w:rPr>
        <w:t>окуялар</w:t>
      </w:r>
      <w:proofErr w:type="spellEnd"/>
    </w:p>
    <w:p w14:paraId="305BDF5B" w14:textId="45616657" w:rsidR="00CA5EF7" w:rsidRPr="0060265E" w:rsidRDefault="00CA5EF7" w:rsidP="00CA5EF7">
      <w:pPr>
        <w:widowControl w:val="0"/>
        <w:spacing w:before="240"/>
        <w:ind w:firstLine="720"/>
        <w:jc w:val="both"/>
        <w:rPr>
          <w:iCs/>
        </w:rPr>
      </w:pPr>
      <w:r w:rsidRPr="0060265E">
        <w:t xml:space="preserve">2025-жылдын 24-апрелинде </w:t>
      </w:r>
      <w:r w:rsidR="005B2B7C" w:rsidRPr="0060265E">
        <w:rPr>
          <w:lang w:val="ky-KG"/>
        </w:rPr>
        <w:t>КГК</w:t>
      </w:r>
      <w:r w:rsidRPr="0060265E">
        <w:t xml:space="preserve"> </w:t>
      </w:r>
      <w:proofErr w:type="spellStart"/>
      <w:r w:rsidRPr="0060265E">
        <w:t>акцияларынын</w:t>
      </w:r>
      <w:proofErr w:type="spellEnd"/>
      <w:r w:rsidRPr="0060265E">
        <w:t xml:space="preserve"> 100% </w:t>
      </w:r>
      <w:r w:rsidR="005B2B7C" w:rsidRPr="0060265E">
        <w:t>«</w:t>
      </w:r>
      <w:r w:rsidR="005B2B7C" w:rsidRPr="0060265E">
        <w:rPr>
          <w:lang w:val="ky-KG"/>
        </w:rPr>
        <w:t>Кыргызалтын</w:t>
      </w:r>
      <w:r w:rsidR="005B2B7C" w:rsidRPr="0060265E">
        <w:t>»</w:t>
      </w:r>
      <w:r w:rsidR="005B2B7C" w:rsidRPr="0060265E">
        <w:rPr>
          <w:lang w:val="ky-KG"/>
        </w:rPr>
        <w:t xml:space="preserve"> ААКка </w:t>
      </w:r>
      <w:proofErr w:type="spellStart"/>
      <w:r w:rsidRPr="0060265E">
        <w:t>өткөрүлгөндөн</w:t>
      </w:r>
      <w:proofErr w:type="spellEnd"/>
      <w:r w:rsidRPr="0060265E">
        <w:t xml:space="preserve"> </w:t>
      </w:r>
      <w:proofErr w:type="spellStart"/>
      <w:r w:rsidRPr="0060265E">
        <w:t>кийин</w:t>
      </w:r>
      <w:proofErr w:type="spellEnd"/>
      <w:r w:rsidRPr="0060265E">
        <w:t xml:space="preserve"> </w:t>
      </w:r>
      <w:proofErr w:type="spellStart"/>
      <w:r w:rsidRPr="0060265E">
        <w:t>үчүнчү</w:t>
      </w:r>
      <w:proofErr w:type="spellEnd"/>
      <w:r w:rsidRPr="0060265E">
        <w:t xml:space="preserve"> </w:t>
      </w:r>
      <w:proofErr w:type="spellStart"/>
      <w:r w:rsidRPr="0060265E">
        <w:t>жылдык</w:t>
      </w:r>
      <w:proofErr w:type="spellEnd"/>
      <w:r w:rsidRPr="0060265E">
        <w:t xml:space="preserve"> </w:t>
      </w:r>
      <w:proofErr w:type="spellStart"/>
      <w:r w:rsidRPr="0060265E">
        <w:t>жалпы</w:t>
      </w:r>
      <w:proofErr w:type="spellEnd"/>
      <w:r w:rsidRPr="0060265E">
        <w:t xml:space="preserve"> </w:t>
      </w:r>
      <w:proofErr w:type="spellStart"/>
      <w:r w:rsidRPr="0060265E">
        <w:t>жыйыны</w:t>
      </w:r>
      <w:proofErr w:type="spellEnd"/>
      <w:r w:rsidRPr="0060265E">
        <w:t xml:space="preserve"> </w:t>
      </w:r>
      <w:proofErr w:type="spellStart"/>
      <w:r w:rsidRPr="0060265E">
        <w:t>өтүп</w:t>
      </w:r>
      <w:proofErr w:type="spellEnd"/>
      <w:r w:rsidRPr="0060265E">
        <w:t xml:space="preserve">, бюджет, </w:t>
      </w:r>
      <w:r w:rsidR="00BF07E0" w:rsidRPr="0060265E">
        <w:rPr>
          <w:lang w:val="ky-KG"/>
        </w:rPr>
        <w:t xml:space="preserve">КГКнын </w:t>
      </w:r>
      <w:r w:rsidRPr="0060265E">
        <w:t xml:space="preserve">2025-жылга </w:t>
      </w:r>
      <w:proofErr w:type="spellStart"/>
      <w:r w:rsidRPr="0060265E">
        <w:t>иш</w:t>
      </w:r>
      <w:proofErr w:type="spellEnd"/>
      <w:r w:rsidRPr="0060265E">
        <w:t xml:space="preserve"> планы </w:t>
      </w:r>
      <w:proofErr w:type="spellStart"/>
      <w:r w:rsidRPr="0060265E">
        <w:rPr>
          <w:iCs/>
        </w:rPr>
        <w:t>бекитилип</w:t>
      </w:r>
      <w:proofErr w:type="spellEnd"/>
      <w:r w:rsidRPr="0060265E">
        <w:rPr>
          <w:iCs/>
        </w:rPr>
        <w:t xml:space="preserve">, Кыргыз </w:t>
      </w:r>
      <w:proofErr w:type="spellStart"/>
      <w:r w:rsidRPr="0060265E">
        <w:rPr>
          <w:iCs/>
        </w:rPr>
        <w:t>Республикасынын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пайдасына</w:t>
      </w:r>
      <w:proofErr w:type="spellEnd"/>
      <w:r w:rsidRPr="0060265E">
        <w:rPr>
          <w:iCs/>
        </w:rPr>
        <w:t xml:space="preserve"> 150,000,000 АКШ доллары </w:t>
      </w:r>
      <w:proofErr w:type="spellStart"/>
      <w:r w:rsidRPr="0060265E">
        <w:rPr>
          <w:iCs/>
        </w:rPr>
        <w:t>өлчөмүндөгү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дивиденддерди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бөлүштүрүү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чечимин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кабыл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алды</w:t>
      </w:r>
      <w:proofErr w:type="spellEnd"/>
      <w:r w:rsidRPr="0060265E">
        <w:rPr>
          <w:iCs/>
        </w:rPr>
        <w:t xml:space="preserve">. </w:t>
      </w:r>
      <w:r w:rsidR="002002BB" w:rsidRPr="0060265E">
        <w:rPr>
          <w:iCs/>
        </w:rPr>
        <w:t>«Эрнст энд Янг Аудит»</w:t>
      </w:r>
      <w:r w:rsidR="002002BB" w:rsidRPr="0060265E">
        <w:rPr>
          <w:iCs/>
          <w:lang w:val="ky-KG"/>
        </w:rPr>
        <w:t xml:space="preserve"> ЖЧКсы </w:t>
      </w:r>
      <w:r w:rsidRPr="0060265E">
        <w:rPr>
          <w:iCs/>
        </w:rPr>
        <w:t xml:space="preserve">2025-жылга </w:t>
      </w:r>
      <w:proofErr w:type="spellStart"/>
      <w:r w:rsidRPr="0060265E">
        <w:rPr>
          <w:iCs/>
        </w:rPr>
        <w:t>компаниянын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көз</w:t>
      </w:r>
      <w:proofErr w:type="spellEnd"/>
      <w:r w:rsidRPr="0060265E">
        <w:rPr>
          <w:iCs/>
        </w:rPr>
        <w:t xml:space="preserve"> </w:t>
      </w:r>
      <w:proofErr w:type="spellStart"/>
      <w:r w:rsidRPr="0060265E">
        <w:rPr>
          <w:iCs/>
        </w:rPr>
        <w:t>карандысыз</w:t>
      </w:r>
      <w:proofErr w:type="spellEnd"/>
      <w:r w:rsidRPr="0060265E">
        <w:rPr>
          <w:iCs/>
        </w:rPr>
        <w:t xml:space="preserve"> аудитору катары </w:t>
      </w:r>
      <w:proofErr w:type="spellStart"/>
      <w:r w:rsidRPr="0060265E">
        <w:rPr>
          <w:iCs/>
        </w:rPr>
        <w:t>бекитилди</w:t>
      </w:r>
      <w:proofErr w:type="spellEnd"/>
      <w:r w:rsidRPr="0060265E">
        <w:rPr>
          <w:iCs/>
        </w:rPr>
        <w:t>.</w:t>
      </w:r>
    </w:p>
    <w:p w14:paraId="4F946F90" w14:textId="5D05F4AD" w:rsidR="00CA5EF7" w:rsidRPr="0060265E" w:rsidRDefault="00CA5EF7" w:rsidP="00157BDA">
      <w:r w:rsidRPr="0060265E">
        <w:rPr>
          <w:iCs/>
        </w:rPr>
        <w:tab/>
      </w:r>
      <w:r w:rsidRPr="0060265E">
        <w:t>Кумт</w:t>
      </w:r>
      <w:r w:rsidR="002002BB" w:rsidRPr="0060265E">
        <w:rPr>
          <w:lang w:val="ky-KG"/>
        </w:rPr>
        <w:t>ө</w:t>
      </w:r>
      <w:r w:rsidRPr="0060265E">
        <w:t xml:space="preserve">р </w:t>
      </w:r>
      <w:proofErr w:type="spellStart"/>
      <w:r w:rsidRPr="0060265E">
        <w:t>кенинин</w:t>
      </w:r>
      <w:proofErr w:type="spellEnd"/>
      <w:r w:rsidRPr="0060265E">
        <w:t xml:space="preserve"> </w:t>
      </w:r>
      <w:proofErr w:type="spellStart"/>
      <w:r w:rsidRPr="0060265E">
        <w:t>запастарын</w:t>
      </w:r>
      <w:proofErr w:type="spellEnd"/>
      <w:r w:rsidRPr="0060265E">
        <w:t xml:space="preserve"> кайра </w:t>
      </w:r>
      <w:proofErr w:type="spellStart"/>
      <w:r w:rsidRPr="0060265E">
        <w:t>баалоо</w:t>
      </w:r>
      <w:proofErr w:type="spellEnd"/>
      <w:r w:rsidRPr="0060265E">
        <w:t xml:space="preserve"> </w:t>
      </w:r>
      <w:proofErr w:type="spellStart"/>
      <w:r w:rsidRPr="0060265E">
        <w:t>алкагында</w:t>
      </w:r>
      <w:proofErr w:type="spellEnd"/>
      <w:r w:rsidRPr="0060265E">
        <w:t xml:space="preserve">. </w:t>
      </w:r>
      <w:proofErr w:type="spellStart"/>
      <w:r w:rsidR="00A24219" w:rsidRPr="0060265E">
        <w:t>иш</w:t>
      </w:r>
      <w:proofErr w:type="spellEnd"/>
      <w:r w:rsidR="00A24219" w:rsidRPr="0060265E">
        <w:t xml:space="preserve"> </w:t>
      </w:r>
      <w:r w:rsidR="00157BDA" w:rsidRPr="0060265E">
        <w:t>ПИЦ «Кен-</w:t>
      </w:r>
      <w:proofErr w:type="spellStart"/>
      <w:r w:rsidR="00157BDA" w:rsidRPr="0060265E">
        <w:t>Тоо</w:t>
      </w:r>
      <w:proofErr w:type="spellEnd"/>
      <w:r w:rsidR="00157BDA" w:rsidRPr="0060265E">
        <w:t xml:space="preserve">» </w:t>
      </w:r>
      <w:r w:rsidR="00157BDA" w:rsidRPr="0060265E">
        <w:rPr>
          <w:lang w:val="ky-KG"/>
        </w:rPr>
        <w:t xml:space="preserve">долборлоо </w:t>
      </w:r>
      <w:proofErr w:type="spellStart"/>
      <w:r w:rsidR="00A24219" w:rsidRPr="0060265E">
        <w:t>уюмунун</w:t>
      </w:r>
      <w:proofErr w:type="spellEnd"/>
      <w:r w:rsidR="00A24219" w:rsidRPr="0060265E">
        <w:t xml:space="preserve"> </w:t>
      </w:r>
      <w:proofErr w:type="spellStart"/>
      <w:r w:rsidR="00A24219" w:rsidRPr="0060265E">
        <w:t>катышуусу</w:t>
      </w:r>
      <w:proofErr w:type="spellEnd"/>
      <w:r w:rsidR="00A24219" w:rsidRPr="0060265E">
        <w:t xml:space="preserve"> менен </w:t>
      </w:r>
      <w:proofErr w:type="spellStart"/>
      <w:r w:rsidR="00A24219" w:rsidRPr="0060265E">
        <w:t>башталган</w:t>
      </w:r>
      <w:proofErr w:type="spellEnd"/>
      <w:r w:rsidR="00157BDA" w:rsidRPr="0060265E">
        <w:rPr>
          <w:lang w:val="ky-KG"/>
        </w:rPr>
        <w:t>,</w:t>
      </w:r>
      <w:r w:rsidRPr="0060265E">
        <w:t xml:space="preserve"> </w:t>
      </w:r>
      <w:proofErr w:type="spellStart"/>
      <w:r w:rsidRPr="0060265E">
        <w:t>ишке</w:t>
      </w:r>
      <w:proofErr w:type="spellEnd"/>
      <w:r w:rsidRPr="0060265E">
        <w:t xml:space="preserve"> </w:t>
      </w:r>
      <w:proofErr w:type="spellStart"/>
      <w:r w:rsidRPr="0060265E">
        <w:t>ашыруу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: "2020–2025-жылдардагы </w:t>
      </w:r>
      <w:proofErr w:type="spellStart"/>
      <w:r w:rsidRPr="0060265E">
        <w:t>геологиялык</w:t>
      </w:r>
      <w:proofErr w:type="spellEnd"/>
      <w:r w:rsidRPr="0060265E">
        <w:t xml:space="preserve"> </w:t>
      </w:r>
      <w:proofErr w:type="spellStart"/>
      <w:r w:rsidRPr="0060265E">
        <w:t>чалгындоо</w:t>
      </w:r>
      <w:proofErr w:type="spellEnd"/>
      <w:r w:rsidRPr="0060265E">
        <w:t xml:space="preserve"> </w:t>
      </w:r>
      <w:proofErr w:type="spellStart"/>
      <w:r w:rsidRPr="0060265E">
        <w:t>жыйынтыктары</w:t>
      </w:r>
      <w:proofErr w:type="spellEnd"/>
      <w:r w:rsidRPr="0060265E">
        <w:t xml:space="preserve"> </w:t>
      </w:r>
      <w:proofErr w:type="spellStart"/>
      <w:r w:rsidRPr="0060265E">
        <w:t>боюнча</w:t>
      </w:r>
      <w:proofErr w:type="spellEnd"/>
      <w:r w:rsidRPr="0060265E">
        <w:t xml:space="preserve"> </w:t>
      </w:r>
      <w:proofErr w:type="spellStart"/>
      <w:r w:rsidRPr="0060265E">
        <w:t>геологиялык</w:t>
      </w:r>
      <w:proofErr w:type="spellEnd"/>
      <w:r w:rsidRPr="0060265E">
        <w:t xml:space="preserve"> отчет, 01.01.2026га карата Кумт</w:t>
      </w:r>
      <w:r w:rsidR="00580348" w:rsidRPr="0060265E">
        <w:rPr>
          <w:lang w:val="ky-KG"/>
        </w:rPr>
        <w:t>ө</w:t>
      </w:r>
      <w:r w:rsidRPr="0060265E">
        <w:t xml:space="preserve">р </w:t>
      </w:r>
      <w:proofErr w:type="spellStart"/>
      <w:r w:rsidRPr="0060265E">
        <w:t>кенин</w:t>
      </w:r>
      <w:proofErr w:type="spellEnd"/>
      <w:r w:rsidRPr="0060265E">
        <w:t xml:space="preserve"> </w:t>
      </w:r>
      <w:proofErr w:type="spellStart"/>
      <w:r w:rsidRPr="0060265E">
        <w:t>ачык</w:t>
      </w:r>
      <w:proofErr w:type="spellEnd"/>
      <w:r w:rsidRPr="0060265E">
        <w:t xml:space="preserve"> карьер менен </w:t>
      </w:r>
      <w:proofErr w:type="spellStart"/>
      <w:r w:rsidRPr="0060265E">
        <w:t>өнүктүрүү</w:t>
      </w:r>
      <w:proofErr w:type="spellEnd"/>
      <w:r w:rsidRPr="0060265E">
        <w:t xml:space="preserve"> </w:t>
      </w:r>
      <w:proofErr w:type="spellStart"/>
      <w:r w:rsidRPr="0060265E">
        <w:t>шарттарын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запастарын</w:t>
      </w:r>
      <w:proofErr w:type="spellEnd"/>
      <w:r w:rsidRPr="0060265E">
        <w:t xml:space="preserve"> </w:t>
      </w:r>
      <w:proofErr w:type="spellStart"/>
      <w:r w:rsidRPr="0060265E">
        <w:t>эсептөө</w:t>
      </w:r>
      <w:proofErr w:type="spellEnd"/>
      <w:r w:rsidRPr="0060265E">
        <w:t xml:space="preserve"> менен". </w:t>
      </w:r>
      <w:r w:rsidR="00A24219" w:rsidRPr="0060265E">
        <w:t xml:space="preserve">Отчеттун </w:t>
      </w:r>
      <w:proofErr w:type="spellStart"/>
      <w:r w:rsidR="00A24219" w:rsidRPr="0060265E">
        <w:t>алкагында</w:t>
      </w:r>
      <w:proofErr w:type="spellEnd"/>
      <w:r w:rsidR="00A24219" w:rsidRPr="0060265E">
        <w:t xml:space="preserve">, </w:t>
      </w:r>
      <w:proofErr w:type="spellStart"/>
      <w:r w:rsidR="00A24219" w:rsidRPr="0060265E">
        <w:t>өнөр</w:t>
      </w:r>
      <w:proofErr w:type="spellEnd"/>
      <w:r w:rsidR="00A24219" w:rsidRPr="0060265E">
        <w:t xml:space="preserve"> </w:t>
      </w:r>
      <w:proofErr w:type="spellStart"/>
      <w:r w:rsidR="00A24219" w:rsidRPr="0060265E">
        <w:t>жай</w:t>
      </w:r>
      <w:proofErr w:type="spellEnd"/>
      <w:r w:rsidR="00A24219" w:rsidRPr="0060265E">
        <w:t xml:space="preserve"> </w:t>
      </w:r>
      <w:proofErr w:type="spellStart"/>
      <w:r w:rsidR="00A24219" w:rsidRPr="0060265E">
        <w:t>шарттарын</w:t>
      </w:r>
      <w:proofErr w:type="spellEnd"/>
      <w:r w:rsidR="00A24219" w:rsidRPr="0060265E">
        <w:t xml:space="preserve">, </w:t>
      </w:r>
      <w:proofErr w:type="spellStart"/>
      <w:r w:rsidR="00A24219" w:rsidRPr="0060265E">
        <w:t>анын</w:t>
      </w:r>
      <w:proofErr w:type="spellEnd"/>
      <w:r w:rsidR="00A24219" w:rsidRPr="0060265E">
        <w:t xml:space="preserve"> </w:t>
      </w:r>
      <w:proofErr w:type="spellStart"/>
      <w:r w:rsidR="00A24219" w:rsidRPr="0060265E">
        <w:t>ичинде</w:t>
      </w:r>
      <w:proofErr w:type="spellEnd"/>
      <w:r w:rsidR="00A24219" w:rsidRPr="0060265E">
        <w:t xml:space="preserve"> алтын</w:t>
      </w:r>
      <w:r w:rsidR="00580348" w:rsidRPr="0060265E">
        <w:rPr>
          <w:lang w:val="ky-KG"/>
        </w:rPr>
        <w:t xml:space="preserve">дын борттук курамын </w:t>
      </w:r>
      <w:proofErr w:type="spellStart"/>
      <w:r w:rsidR="00A24219" w:rsidRPr="0060265E">
        <w:t>эсептөөлөр</w:t>
      </w:r>
      <w:proofErr w:type="spellEnd"/>
      <w:r w:rsidR="00A24219" w:rsidRPr="0060265E">
        <w:t xml:space="preserve"> </w:t>
      </w:r>
      <w:proofErr w:type="spellStart"/>
      <w:r w:rsidR="00A24219" w:rsidRPr="0060265E">
        <w:t>жүргүзүлөт</w:t>
      </w:r>
      <w:proofErr w:type="spellEnd"/>
      <w:r w:rsidR="00A24219" w:rsidRPr="0060265E">
        <w:t>.</w:t>
      </w:r>
    </w:p>
    <w:p w14:paraId="0C88C86C" w14:textId="4279C12F" w:rsidR="00CA5EF7" w:rsidRPr="0060265E" w:rsidRDefault="00860EBA" w:rsidP="00CA5EF7">
      <w:pPr>
        <w:ind w:firstLine="720"/>
        <w:jc w:val="both"/>
      </w:pPr>
      <w:r w:rsidRPr="0060265E">
        <w:rPr>
          <w:lang w:val="ky-KG"/>
        </w:rPr>
        <w:t xml:space="preserve">КГК </w:t>
      </w:r>
      <w:proofErr w:type="spellStart"/>
      <w:r w:rsidR="00CA5EF7" w:rsidRPr="0060265E">
        <w:t>ачык</w:t>
      </w:r>
      <w:proofErr w:type="spellEnd"/>
      <w:r w:rsidR="00CA5EF7" w:rsidRPr="0060265E">
        <w:t xml:space="preserve"> </w:t>
      </w:r>
      <w:proofErr w:type="spellStart"/>
      <w:r w:rsidR="00CA5EF7" w:rsidRPr="0060265E">
        <w:t>карьердин</w:t>
      </w:r>
      <w:proofErr w:type="spellEnd"/>
      <w:r w:rsidR="00CA5EF7" w:rsidRPr="0060265E">
        <w:t xml:space="preserve"> </w:t>
      </w:r>
      <w:r w:rsidRPr="0060265E">
        <w:rPr>
          <w:lang w:val="ky-KG"/>
        </w:rPr>
        <w:t xml:space="preserve">бортторундагы </w:t>
      </w:r>
      <w:r w:rsidR="00CA5EF7" w:rsidRPr="0060265E">
        <w:t>жар</w:t>
      </w:r>
      <w:r w:rsidRPr="0060265E">
        <w:rPr>
          <w:lang w:val="ky-KG"/>
        </w:rPr>
        <w:t>д</w:t>
      </w:r>
      <w:r w:rsidR="00CA5EF7" w:rsidRPr="0060265E">
        <w:t>ы</w:t>
      </w:r>
      <w:r w:rsidR="00164BFF" w:rsidRPr="0060265E">
        <w:rPr>
          <w:lang w:val="ky-KG"/>
        </w:rPr>
        <w:t>р</w:t>
      </w:r>
      <w:proofErr w:type="spellStart"/>
      <w:r w:rsidR="00CA5EF7" w:rsidRPr="0060265E">
        <w:t>уу</w:t>
      </w:r>
      <w:proofErr w:type="spellEnd"/>
      <w:r w:rsidR="00164BFF" w:rsidRPr="0060265E">
        <w:rPr>
          <w:lang w:val="ky-KG"/>
        </w:rPr>
        <w:t xml:space="preserve"> иштеринен</w:t>
      </w:r>
      <w:r w:rsidR="00CA5EF7" w:rsidRPr="0060265E">
        <w:t xml:space="preserve"> </w:t>
      </w:r>
      <w:proofErr w:type="spellStart"/>
      <w:r w:rsidR="00CA5EF7" w:rsidRPr="0060265E">
        <w:t>келип</w:t>
      </w:r>
      <w:proofErr w:type="spellEnd"/>
      <w:r w:rsidR="00CA5EF7" w:rsidRPr="0060265E">
        <w:t xml:space="preserve"> </w:t>
      </w:r>
      <w:proofErr w:type="spellStart"/>
      <w:r w:rsidR="00CA5EF7" w:rsidRPr="0060265E">
        <w:t>чыккан</w:t>
      </w:r>
      <w:proofErr w:type="spellEnd"/>
      <w:r w:rsidR="00CA5EF7" w:rsidRPr="0060265E">
        <w:t xml:space="preserve"> </w:t>
      </w:r>
      <w:proofErr w:type="spellStart"/>
      <w:r w:rsidR="00CA5EF7" w:rsidRPr="0060265E">
        <w:t>сейсмикалык</w:t>
      </w:r>
      <w:proofErr w:type="spellEnd"/>
      <w:r w:rsidR="00CA5EF7" w:rsidRPr="0060265E">
        <w:t xml:space="preserve"> </w:t>
      </w:r>
      <w:proofErr w:type="spellStart"/>
      <w:r w:rsidR="00CA5EF7" w:rsidRPr="0060265E">
        <w:t>таасирди</w:t>
      </w:r>
      <w:proofErr w:type="spellEnd"/>
      <w:r w:rsidR="00CA5EF7" w:rsidRPr="0060265E">
        <w:t xml:space="preserve"> геомеханика </w:t>
      </w:r>
      <w:proofErr w:type="spellStart"/>
      <w:r w:rsidR="00CA5EF7" w:rsidRPr="0060265E">
        <w:t>тармагындагы</w:t>
      </w:r>
      <w:proofErr w:type="spellEnd"/>
      <w:r w:rsidR="00CA5EF7" w:rsidRPr="0060265E">
        <w:t xml:space="preserve"> </w:t>
      </w:r>
      <w:proofErr w:type="spellStart"/>
      <w:r w:rsidR="00CA5EF7" w:rsidRPr="0060265E">
        <w:t>алдыңкы</w:t>
      </w:r>
      <w:proofErr w:type="spellEnd"/>
      <w:r w:rsidR="00CA5EF7" w:rsidRPr="0060265E">
        <w:t xml:space="preserve"> чет </w:t>
      </w:r>
      <w:proofErr w:type="spellStart"/>
      <w:r w:rsidR="00CA5EF7" w:rsidRPr="0060265E">
        <w:t>элдик</w:t>
      </w:r>
      <w:proofErr w:type="spellEnd"/>
      <w:r w:rsidR="00CA5EF7" w:rsidRPr="0060265E">
        <w:t xml:space="preserve"> </w:t>
      </w:r>
      <w:proofErr w:type="spellStart"/>
      <w:r w:rsidR="00CA5EF7" w:rsidRPr="0060265E">
        <w:t>компаниялардын</w:t>
      </w:r>
      <w:proofErr w:type="spellEnd"/>
      <w:r w:rsidR="00CA5EF7" w:rsidRPr="0060265E">
        <w:t xml:space="preserve"> </w:t>
      </w:r>
      <w:proofErr w:type="spellStart"/>
      <w:r w:rsidR="00CA5EF7" w:rsidRPr="0060265E">
        <w:t>бири</w:t>
      </w:r>
      <w:proofErr w:type="spellEnd"/>
      <w:r w:rsidR="00CA5EF7" w:rsidRPr="0060265E">
        <w:t xml:space="preserve"> Mining One менен </w:t>
      </w:r>
      <w:proofErr w:type="spellStart"/>
      <w:r w:rsidR="00CA5EF7" w:rsidRPr="0060265E">
        <w:t>биргеликте</w:t>
      </w:r>
      <w:proofErr w:type="spellEnd"/>
      <w:r w:rsidR="00CA5EF7" w:rsidRPr="0060265E">
        <w:t xml:space="preserve"> </w:t>
      </w:r>
      <w:proofErr w:type="spellStart"/>
      <w:r w:rsidR="00CA5EF7" w:rsidRPr="0060265E">
        <w:t>жүргүзүүдө</w:t>
      </w:r>
      <w:proofErr w:type="spellEnd"/>
      <w:r w:rsidR="00CA5EF7" w:rsidRPr="0060265E">
        <w:t xml:space="preserve">, </w:t>
      </w:r>
      <w:proofErr w:type="spellStart"/>
      <w:r w:rsidR="00CA5EF7" w:rsidRPr="0060265E">
        <w:t>бул</w:t>
      </w:r>
      <w:proofErr w:type="spellEnd"/>
      <w:r w:rsidR="00CA5EF7" w:rsidRPr="0060265E">
        <w:t xml:space="preserve"> </w:t>
      </w:r>
      <w:proofErr w:type="spellStart"/>
      <w:r w:rsidR="00CA5EF7" w:rsidRPr="0060265E">
        <w:t>ачык</w:t>
      </w:r>
      <w:proofErr w:type="spellEnd"/>
      <w:r w:rsidR="00CA5EF7" w:rsidRPr="0060265E">
        <w:t xml:space="preserve"> </w:t>
      </w:r>
      <w:proofErr w:type="spellStart"/>
      <w:r w:rsidR="00CA5EF7" w:rsidRPr="0060265E">
        <w:t>карьердин</w:t>
      </w:r>
      <w:proofErr w:type="spellEnd"/>
      <w:r w:rsidR="00CA5EF7" w:rsidRPr="0060265E">
        <w:t xml:space="preserve"> </w:t>
      </w:r>
      <w:r w:rsidR="00164BFF" w:rsidRPr="0060265E">
        <w:rPr>
          <w:lang w:val="ky-KG"/>
        </w:rPr>
        <w:t>бортторунлагы ж</w:t>
      </w:r>
      <w:r w:rsidR="00CA5EF7" w:rsidRPr="0060265E">
        <w:t>ар</w:t>
      </w:r>
      <w:r w:rsidR="00164BFF" w:rsidRPr="0060265E">
        <w:rPr>
          <w:lang w:val="ky-KG"/>
        </w:rPr>
        <w:t>д</w:t>
      </w:r>
      <w:r w:rsidR="00CA5EF7" w:rsidRPr="0060265E">
        <w:t>ы</w:t>
      </w:r>
      <w:r w:rsidR="00164BFF" w:rsidRPr="0060265E">
        <w:rPr>
          <w:lang w:val="ky-KG"/>
        </w:rPr>
        <w:t>р</w:t>
      </w:r>
      <w:proofErr w:type="spellStart"/>
      <w:r w:rsidR="00CA5EF7" w:rsidRPr="0060265E">
        <w:t>уулардын</w:t>
      </w:r>
      <w:proofErr w:type="spellEnd"/>
      <w:r w:rsidR="00CA5EF7" w:rsidRPr="0060265E">
        <w:t xml:space="preserve"> </w:t>
      </w:r>
      <w:proofErr w:type="spellStart"/>
      <w:r w:rsidR="00CA5EF7" w:rsidRPr="0060265E">
        <w:t>терс</w:t>
      </w:r>
      <w:proofErr w:type="spellEnd"/>
      <w:r w:rsidR="00CA5EF7" w:rsidRPr="0060265E">
        <w:t xml:space="preserve"> </w:t>
      </w:r>
      <w:proofErr w:type="spellStart"/>
      <w:r w:rsidR="00CA5EF7" w:rsidRPr="0060265E">
        <w:t>таасирин</w:t>
      </w:r>
      <w:proofErr w:type="spellEnd"/>
      <w:r w:rsidR="00CA5EF7" w:rsidRPr="0060265E">
        <w:t xml:space="preserve"> </w:t>
      </w:r>
      <w:proofErr w:type="spellStart"/>
      <w:r w:rsidR="00CA5EF7" w:rsidRPr="0060265E">
        <w:t>азайтуу</w:t>
      </w:r>
      <w:proofErr w:type="spellEnd"/>
      <w:r w:rsidR="00CA5EF7" w:rsidRPr="0060265E">
        <w:t xml:space="preserve"> </w:t>
      </w:r>
      <w:proofErr w:type="spellStart"/>
      <w:r w:rsidR="00CA5EF7" w:rsidRPr="0060265E">
        <w:t>жана</w:t>
      </w:r>
      <w:proofErr w:type="spellEnd"/>
      <w:r w:rsidR="00CA5EF7" w:rsidRPr="0060265E">
        <w:t xml:space="preserve"> </w:t>
      </w:r>
      <w:proofErr w:type="spellStart"/>
      <w:r w:rsidR="00CA5EF7" w:rsidRPr="0060265E">
        <w:t>туруктуулугун</w:t>
      </w:r>
      <w:proofErr w:type="spellEnd"/>
      <w:r w:rsidR="00CA5EF7" w:rsidRPr="0060265E">
        <w:t xml:space="preserve"> </w:t>
      </w:r>
      <w:proofErr w:type="spellStart"/>
      <w:r w:rsidR="00CA5EF7" w:rsidRPr="0060265E">
        <w:t>сактоо</w:t>
      </w:r>
      <w:proofErr w:type="spellEnd"/>
      <w:r w:rsidR="00CA5EF7" w:rsidRPr="0060265E">
        <w:t xml:space="preserve"> </w:t>
      </w:r>
      <w:proofErr w:type="spellStart"/>
      <w:r w:rsidR="00CA5EF7" w:rsidRPr="0060265E">
        <w:t>максатында</w:t>
      </w:r>
      <w:proofErr w:type="spellEnd"/>
      <w:r w:rsidR="00164BFF" w:rsidRPr="0060265E">
        <w:rPr>
          <w:lang w:val="ky-KG"/>
        </w:rPr>
        <w:t xml:space="preserve"> өткөрүлуп жатат</w:t>
      </w:r>
      <w:r w:rsidR="00CA5EF7" w:rsidRPr="0060265E">
        <w:t>.</w:t>
      </w:r>
    </w:p>
    <w:p w14:paraId="767D9A4B" w14:textId="77777777" w:rsidR="00CA5EF7" w:rsidRPr="0060265E" w:rsidRDefault="00CA5EF7" w:rsidP="00CA5EF7">
      <w:pPr>
        <w:ind w:firstLine="720"/>
        <w:jc w:val="both"/>
      </w:pPr>
      <w:proofErr w:type="spellStart"/>
      <w:r w:rsidRPr="0060265E">
        <w:t>Кендин</w:t>
      </w:r>
      <w:proofErr w:type="spellEnd"/>
      <w:r w:rsidRPr="0060265E">
        <w:t xml:space="preserve"> </w:t>
      </w:r>
      <w:proofErr w:type="spellStart"/>
      <w:r w:rsidRPr="0060265E">
        <w:t>геологиялык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структуралык</w:t>
      </w:r>
      <w:proofErr w:type="spellEnd"/>
      <w:r w:rsidRPr="0060265E">
        <w:t xml:space="preserve"> </w:t>
      </w:r>
      <w:proofErr w:type="spellStart"/>
      <w:r w:rsidRPr="0060265E">
        <w:t>моделин</w:t>
      </w:r>
      <w:proofErr w:type="spellEnd"/>
      <w:r w:rsidRPr="0060265E">
        <w:t xml:space="preserve"> </w:t>
      </w:r>
      <w:proofErr w:type="spellStart"/>
      <w:r w:rsidRPr="0060265E">
        <w:t>түзүү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жаңылоо</w:t>
      </w:r>
      <w:proofErr w:type="spellEnd"/>
      <w:r w:rsidRPr="0060265E">
        <w:t xml:space="preserve"> </w:t>
      </w:r>
      <w:proofErr w:type="spellStart"/>
      <w:r w:rsidRPr="0060265E">
        <w:t>боюнча</w:t>
      </w:r>
      <w:proofErr w:type="spellEnd"/>
      <w:r w:rsidRPr="0060265E">
        <w:t xml:space="preserve"> чет </w:t>
      </w:r>
      <w:proofErr w:type="spellStart"/>
      <w:r w:rsidRPr="0060265E">
        <w:t>элдик</w:t>
      </w:r>
      <w:proofErr w:type="spellEnd"/>
      <w:r w:rsidRPr="0060265E">
        <w:t xml:space="preserve"> консалтинг </w:t>
      </w:r>
      <w:proofErr w:type="spellStart"/>
      <w:r w:rsidRPr="0060265E">
        <w:t>компаниясы</w:t>
      </w:r>
      <w:proofErr w:type="spellEnd"/>
      <w:r w:rsidRPr="0060265E">
        <w:t xml:space="preserve"> Global </w:t>
      </w:r>
      <w:proofErr w:type="spellStart"/>
      <w:r w:rsidRPr="0060265E">
        <w:t>Geological</w:t>
      </w:r>
      <w:proofErr w:type="spellEnd"/>
      <w:r w:rsidRPr="0060265E">
        <w:t xml:space="preserve"> Services Limited (GGSL) менен </w:t>
      </w:r>
      <w:proofErr w:type="spellStart"/>
      <w:r w:rsidRPr="0060265E">
        <w:t>биргеликте</w:t>
      </w:r>
      <w:proofErr w:type="spellEnd"/>
      <w:r w:rsidRPr="0060265E">
        <w:t xml:space="preserve"> </w:t>
      </w:r>
      <w:proofErr w:type="spellStart"/>
      <w:r w:rsidRPr="0060265E">
        <w:t>иш</w:t>
      </w:r>
      <w:proofErr w:type="spellEnd"/>
      <w:r w:rsidRPr="0060265E">
        <w:t xml:space="preserve"> </w:t>
      </w:r>
      <w:proofErr w:type="spellStart"/>
      <w:r w:rsidRPr="0060265E">
        <w:t>жүрүүдө</w:t>
      </w:r>
      <w:proofErr w:type="spellEnd"/>
      <w:r w:rsidRPr="0060265E">
        <w:t xml:space="preserve">. </w:t>
      </w:r>
    </w:p>
    <w:p w14:paraId="32CEDD2E" w14:textId="77774ADD" w:rsidR="00CA5EF7" w:rsidRPr="0060265E" w:rsidRDefault="00CA5EF7" w:rsidP="00CA5EF7">
      <w:pPr>
        <w:ind w:firstLine="720"/>
        <w:jc w:val="both"/>
      </w:pPr>
      <w:proofErr w:type="spellStart"/>
      <w:r w:rsidRPr="0060265E">
        <w:t>Кендин</w:t>
      </w:r>
      <w:proofErr w:type="spellEnd"/>
      <w:r w:rsidRPr="0060265E">
        <w:t xml:space="preserve"> </w:t>
      </w:r>
      <w:r w:rsidR="002C0D6E" w:rsidRPr="0060265E">
        <w:rPr>
          <w:lang w:val="ky-KG"/>
        </w:rPr>
        <w:t xml:space="preserve">эксплутауиялык мөөнөтүнүе </w:t>
      </w:r>
      <w:proofErr w:type="spellStart"/>
      <w:r w:rsidRPr="0060265E">
        <w:t>узартылышы</w:t>
      </w:r>
      <w:proofErr w:type="spellEnd"/>
      <w:r w:rsidRPr="0060265E">
        <w:t xml:space="preserve"> </w:t>
      </w:r>
      <w:proofErr w:type="spellStart"/>
      <w:r w:rsidRPr="0060265E">
        <w:t>өндүрүш</w:t>
      </w:r>
      <w:proofErr w:type="spellEnd"/>
      <w:r w:rsidRPr="0060265E">
        <w:t xml:space="preserve"> </w:t>
      </w:r>
      <w:proofErr w:type="spellStart"/>
      <w:r w:rsidRPr="0060265E">
        <w:t>процесстерин</w:t>
      </w:r>
      <w:proofErr w:type="spellEnd"/>
      <w:r w:rsidRPr="0060265E">
        <w:t xml:space="preserve"> </w:t>
      </w:r>
      <w:proofErr w:type="spellStart"/>
      <w:r w:rsidRPr="0060265E">
        <w:t>оптималдаштырууга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иштөө</w:t>
      </w:r>
      <w:proofErr w:type="spellEnd"/>
      <w:r w:rsidRPr="0060265E">
        <w:t xml:space="preserve"> </w:t>
      </w:r>
      <w:proofErr w:type="spellStart"/>
      <w:r w:rsidRPr="0060265E">
        <w:t>аймактарын</w:t>
      </w:r>
      <w:proofErr w:type="spellEnd"/>
      <w:r w:rsidRPr="0060265E">
        <w:t xml:space="preserve"> </w:t>
      </w:r>
      <w:proofErr w:type="spellStart"/>
      <w:r w:rsidRPr="0060265E">
        <w:t>кеңейтүүгө</w:t>
      </w:r>
      <w:proofErr w:type="spellEnd"/>
      <w:r w:rsidRPr="0060265E">
        <w:t xml:space="preserve"> </w:t>
      </w:r>
      <w:proofErr w:type="spellStart"/>
      <w:r w:rsidRPr="0060265E">
        <w:t>багытталган</w:t>
      </w:r>
      <w:proofErr w:type="spellEnd"/>
      <w:r w:rsidRPr="0060265E">
        <w:t xml:space="preserve"> техникалык </w:t>
      </w:r>
      <w:proofErr w:type="spellStart"/>
      <w:r w:rsidRPr="0060265E">
        <w:t>долбоордун</w:t>
      </w:r>
      <w:proofErr w:type="spellEnd"/>
      <w:r w:rsidRPr="0060265E">
        <w:t xml:space="preserve"> </w:t>
      </w:r>
      <w:proofErr w:type="spellStart"/>
      <w:r w:rsidRPr="0060265E">
        <w:t>алкагында</w:t>
      </w:r>
      <w:proofErr w:type="spellEnd"/>
      <w:r w:rsidRPr="0060265E">
        <w:t xml:space="preserve"> </w:t>
      </w:r>
      <w:proofErr w:type="spellStart"/>
      <w:r w:rsidRPr="0060265E">
        <w:t>жүргүзүлөт</w:t>
      </w:r>
      <w:proofErr w:type="spellEnd"/>
      <w:r w:rsidRPr="0060265E">
        <w:t xml:space="preserve">, </w:t>
      </w:r>
      <w:proofErr w:type="spellStart"/>
      <w:r w:rsidRPr="0060265E">
        <w:t>бул</w:t>
      </w:r>
      <w:proofErr w:type="spellEnd"/>
      <w:r w:rsidRPr="0060265E">
        <w:t xml:space="preserve"> Кумт</w:t>
      </w:r>
      <w:r w:rsidR="002C0D6E" w:rsidRPr="0060265E">
        <w:rPr>
          <w:lang w:val="ky-KG"/>
        </w:rPr>
        <w:t>ө</w:t>
      </w:r>
      <w:r w:rsidRPr="0060265E">
        <w:t xml:space="preserve">р </w:t>
      </w:r>
      <w:proofErr w:type="spellStart"/>
      <w:r w:rsidRPr="0060265E">
        <w:t>кенинин</w:t>
      </w:r>
      <w:proofErr w:type="spellEnd"/>
      <w:r w:rsidRPr="0060265E">
        <w:t xml:space="preserve"> </w:t>
      </w:r>
      <w:proofErr w:type="spellStart"/>
      <w:r w:rsidRPr="0060265E">
        <w:t>туруктуу</w:t>
      </w:r>
      <w:proofErr w:type="spellEnd"/>
      <w:r w:rsidRPr="0060265E">
        <w:t xml:space="preserve"> </w:t>
      </w:r>
      <w:proofErr w:type="spellStart"/>
      <w:r w:rsidRPr="0060265E">
        <w:t>өнүгүүсүн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ресурстарын</w:t>
      </w:r>
      <w:proofErr w:type="spellEnd"/>
      <w:r w:rsidRPr="0060265E">
        <w:t xml:space="preserve"> </w:t>
      </w:r>
      <w:proofErr w:type="spellStart"/>
      <w:r w:rsidRPr="0060265E">
        <w:t>кеңейтүүнү</w:t>
      </w:r>
      <w:proofErr w:type="spellEnd"/>
      <w:r w:rsidRPr="0060265E">
        <w:t xml:space="preserve"> </w:t>
      </w:r>
      <w:proofErr w:type="spellStart"/>
      <w:r w:rsidRPr="0060265E">
        <w:t>камсыздайт</w:t>
      </w:r>
      <w:proofErr w:type="spellEnd"/>
      <w:r w:rsidRPr="0060265E">
        <w:t>.</w:t>
      </w:r>
    </w:p>
    <w:p w14:paraId="609D97D1" w14:textId="37986E21" w:rsidR="00CA5EF7" w:rsidRPr="0060265E" w:rsidRDefault="002C0D6E" w:rsidP="00CA5EF7">
      <w:pPr>
        <w:ind w:firstLine="720"/>
        <w:jc w:val="both"/>
      </w:pPr>
      <w:r w:rsidRPr="0060265E">
        <w:rPr>
          <w:lang w:val="ky-KG"/>
        </w:rPr>
        <w:t xml:space="preserve">Түштүк-Батыг </w:t>
      </w:r>
      <w:proofErr w:type="spellStart"/>
      <w:r w:rsidR="00CA5EF7" w:rsidRPr="0060265E">
        <w:t>карьери</w:t>
      </w:r>
      <w:proofErr w:type="spellEnd"/>
      <w:r w:rsidR="00CA5EF7" w:rsidRPr="0060265E">
        <w:t xml:space="preserve"> </w:t>
      </w:r>
      <w:proofErr w:type="spellStart"/>
      <w:r w:rsidR="00CA5EF7" w:rsidRPr="0060265E">
        <w:t>коопсуз</w:t>
      </w:r>
      <w:proofErr w:type="spellEnd"/>
      <w:r w:rsidR="00CA5EF7" w:rsidRPr="0060265E">
        <w:t xml:space="preserve"> </w:t>
      </w:r>
      <w:proofErr w:type="spellStart"/>
      <w:r w:rsidR="00CA5EF7" w:rsidRPr="0060265E">
        <w:t>жана</w:t>
      </w:r>
      <w:proofErr w:type="spellEnd"/>
      <w:r w:rsidR="00CA5EF7" w:rsidRPr="0060265E">
        <w:t xml:space="preserve"> </w:t>
      </w:r>
      <w:r w:rsidR="00C24D0E" w:rsidRPr="0060265E">
        <w:rPr>
          <w:lang w:val="ky-KG"/>
        </w:rPr>
        <w:t xml:space="preserve">пландалган мөөнөттөн </w:t>
      </w:r>
      <w:proofErr w:type="spellStart"/>
      <w:r w:rsidR="00CA5EF7" w:rsidRPr="0060265E">
        <w:t>эрте</w:t>
      </w:r>
      <w:proofErr w:type="spellEnd"/>
      <w:r w:rsidR="00CA5EF7" w:rsidRPr="0060265E">
        <w:t xml:space="preserve"> </w:t>
      </w:r>
      <w:proofErr w:type="spellStart"/>
      <w:r w:rsidR="00CA5EF7" w:rsidRPr="0060265E">
        <w:t>иштетилди</w:t>
      </w:r>
      <w:proofErr w:type="spellEnd"/>
      <w:r w:rsidR="00CA5EF7" w:rsidRPr="0060265E">
        <w:t xml:space="preserve">. </w:t>
      </w:r>
      <w:proofErr w:type="spellStart"/>
      <w:r w:rsidR="00CA5EF7" w:rsidRPr="0060265E">
        <w:t>Сарыт</w:t>
      </w:r>
      <w:proofErr w:type="spellEnd"/>
      <w:r w:rsidR="00C24D0E" w:rsidRPr="0060265E">
        <w:rPr>
          <w:lang w:val="ky-KG"/>
        </w:rPr>
        <w:t>ө</w:t>
      </w:r>
      <w:r w:rsidR="00CA5EF7" w:rsidRPr="0060265E">
        <w:t xml:space="preserve">р </w:t>
      </w:r>
      <w:r w:rsidR="00C24D0E" w:rsidRPr="0060265E">
        <w:rPr>
          <w:lang w:val="ky-KG"/>
        </w:rPr>
        <w:t xml:space="preserve">мөңгүсүнөн </w:t>
      </w:r>
      <w:proofErr w:type="spellStart"/>
      <w:r w:rsidR="00CA5EF7" w:rsidRPr="0060265E">
        <w:t>эри</w:t>
      </w:r>
      <w:proofErr w:type="spellEnd"/>
      <w:r w:rsidR="003A48C3" w:rsidRPr="0060265E">
        <w:rPr>
          <w:lang w:val="ky-KG"/>
        </w:rPr>
        <w:t xml:space="preserve">ген </w:t>
      </w:r>
      <w:proofErr w:type="spellStart"/>
      <w:r w:rsidR="00CA5EF7" w:rsidRPr="0060265E">
        <w:t>суунун</w:t>
      </w:r>
      <w:proofErr w:type="spellEnd"/>
      <w:r w:rsidR="00CA5EF7" w:rsidRPr="0060265E">
        <w:t xml:space="preserve"> </w:t>
      </w:r>
      <w:proofErr w:type="spellStart"/>
      <w:r w:rsidR="00CA5EF7" w:rsidRPr="0060265E">
        <w:t>интенсивдүү</w:t>
      </w:r>
      <w:proofErr w:type="spellEnd"/>
      <w:r w:rsidR="00CA5EF7" w:rsidRPr="0060265E">
        <w:t xml:space="preserve"> </w:t>
      </w:r>
      <w:proofErr w:type="spellStart"/>
      <w:r w:rsidR="00CA5EF7" w:rsidRPr="0060265E">
        <w:t>агымы</w:t>
      </w:r>
      <w:proofErr w:type="spellEnd"/>
      <w:r w:rsidR="00CA5EF7" w:rsidRPr="0060265E">
        <w:t xml:space="preserve"> </w:t>
      </w:r>
      <w:proofErr w:type="spellStart"/>
      <w:r w:rsidR="00CA5EF7" w:rsidRPr="0060265E">
        <w:t>учурунда</w:t>
      </w:r>
      <w:proofErr w:type="spellEnd"/>
      <w:r w:rsidR="00CA5EF7" w:rsidRPr="0060265E">
        <w:t xml:space="preserve"> долбоордук дренаж </w:t>
      </w:r>
      <w:proofErr w:type="spellStart"/>
      <w:r w:rsidR="00CA5EF7" w:rsidRPr="0060265E">
        <w:t>системасы</w:t>
      </w:r>
      <w:proofErr w:type="spellEnd"/>
      <w:r w:rsidR="00CA5EF7" w:rsidRPr="0060265E">
        <w:t xml:space="preserve"> </w:t>
      </w:r>
      <w:r w:rsidR="003A48C3" w:rsidRPr="0060265E">
        <w:rPr>
          <w:lang w:val="ky-KG"/>
        </w:rPr>
        <w:t xml:space="preserve">борттордун </w:t>
      </w:r>
      <w:proofErr w:type="spellStart"/>
      <w:r w:rsidR="00CA5EF7" w:rsidRPr="0060265E">
        <w:t>туруктуулугун</w:t>
      </w:r>
      <w:proofErr w:type="spellEnd"/>
      <w:r w:rsidR="00CA5EF7" w:rsidRPr="0060265E">
        <w:t xml:space="preserve">, </w:t>
      </w:r>
      <w:proofErr w:type="spellStart"/>
      <w:r w:rsidR="00CA5EF7" w:rsidRPr="0060265E">
        <w:t>транспорттук</w:t>
      </w:r>
      <w:proofErr w:type="spellEnd"/>
      <w:r w:rsidR="00CA5EF7" w:rsidRPr="0060265E">
        <w:t xml:space="preserve"> </w:t>
      </w:r>
      <w:proofErr w:type="spellStart"/>
      <w:r w:rsidR="00CA5EF7" w:rsidRPr="0060265E">
        <w:t>горизонттордун</w:t>
      </w:r>
      <w:proofErr w:type="spellEnd"/>
      <w:r w:rsidR="00CA5EF7" w:rsidRPr="0060265E">
        <w:t xml:space="preserve"> </w:t>
      </w:r>
      <w:proofErr w:type="spellStart"/>
      <w:r w:rsidR="00CA5EF7" w:rsidRPr="0060265E">
        <w:t>коопсуздугун</w:t>
      </w:r>
      <w:proofErr w:type="spellEnd"/>
      <w:r w:rsidR="00CA5EF7" w:rsidRPr="0060265E">
        <w:t xml:space="preserve"> </w:t>
      </w:r>
      <w:proofErr w:type="spellStart"/>
      <w:r w:rsidR="00CA5EF7" w:rsidRPr="0060265E">
        <w:t>жана</w:t>
      </w:r>
      <w:proofErr w:type="spellEnd"/>
      <w:r w:rsidR="00CA5EF7" w:rsidRPr="0060265E">
        <w:t xml:space="preserve"> </w:t>
      </w:r>
      <w:proofErr w:type="spellStart"/>
      <w:r w:rsidR="00CA5EF7" w:rsidRPr="0060265E">
        <w:t>үзгүлтүксүз</w:t>
      </w:r>
      <w:proofErr w:type="spellEnd"/>
      <w:r w:rsidR="00CA5EF7" w:rsidRPr="0060265E">
        <w:t xml:space="preserve"> кен </w:t>
      </w:r>
      <w:proofErr w:type="spellStart"/>
      <w:r w:rsidR="00CA5EF7" w:rsidRPr="0060265E">
        <w:t>казуу</w:t>
      </w:r>
      <w:proofErr w:type="spellEnd"/>
      <w:r w:rsidR="00CA5EF7" w:rsidRPr="0060265E">
        <w:t xml:space="preserve"> </w:t>
      </w:r>
      <w:proofErr w:type="spellStart"/>
      <w:r w:rsidR="00CA5EF7" w:rsidRPr="0060265E">
        <w:t>иштерин</w:t>
      </w:r>
      <w:proofErr w:type="spellEnd"/>
      <w:r w:rsidR="00CA5EF7" w:rsidRPr="0060265E">
        <w:t xml:space="preserve"> </w:t>
      </w:r>
      <w:proofErr w:type="spellStart"/>
      <w:r w:rsidR="00CA5EF7" w:rsidRPr="0060265E">
        <w:t>камсыздаган</w:t>
      </w:r>
      <w:proofErr w:type="spellEnd"/>
      <w:r w:rsidR="00CA5EF7" w:rsidRPr="0060265E">
        <w:t>.</w:t>
      </w:r>
    </w:p>
    <w:p w14:paraId="18D60472" w14:textId="3B7C3603" w:rsidR="00CA5EF7" w:rsidRPr="0060265E" w:rsidRDefault="00CA5EF7" w:rsidP="00CA5EF7">
      <w:pPr>
        <w:ind w:firstLine="720"/>
        <w:jc w:val="both"/>
      </w:pPr>
      <w:r w:rsidRPr="0060265E">
        <w:t>Кумт</w:t>
      </w:r>
      <w:r w:rsidR="003A48C3" w:rsidRPr="0060265E">
        <w:rPr>
          <w:lang w:val="ky-KG"/>
        </w:rPr>
        <w:t>ө</w:t>
      </w:r>
      <w:r w:rsidRPr="0060265E">
        <w:t xml:space="preserve">р </w:t>
      </w:r>
      <w:proofErr w:type="spellStart"/>
      <w:r w:rsidRPr="0060265E">
        <w:t>кенинде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Балыкчы </w:t>
      </w:r>
      <w:r w:rsidR="003A48C3" w:rsidRPr="0060265E">
        <w:rPr>
          <w:lang w:val="ky-KG"/>
        </w:rPr>
        <w:t xml:space="preserve">өткөөл </w:t>
      </w:r>
      <w:proofErr w:type="spellStart"/>
      <w:r w:rsidRPr="0060265E">
        <w:t>базасында</w:t>
      </w:r>
      <w:proofErr w:type="spellEnd"/>
      <w:r w:rsidRPr="0060265E">
        <w:t xml:space="preserve"> </w:t>
      </w:r>
      <w:proofErr w:type="spellStart"/>
      <w:r w:rsidRPr="0060265E">
        <w:t>күйүүчү</w:t>
      </w:r>
      <w:proofErr w:type="spellEnd"/>
      <w:r w:rsidRPr="0060265E">
        <w:t xml:space="preserve"> </w:t>
      </w:r>
      <w:proofErr w:type="spellStart"/>
      <w:r w:rsidRPr="0060265E">
        <w:t>майды</w:t>
      </w:r>
      <w:proofErr w:type="spellEnd"/>
      <w:r w:rsidRPr="0060265E">
        <w:t xml:space="preserve"> </w:t>
      </w:r>
      <w:proofErr w:type="spellStart"/>
      <w:r w:rsidRPr="0060265E">
        <w:t>эсептөө</w:t>
      </w:r>
      <w:proofErr w:type="spellEnd"/>
      <w:r w:rsidRPr="0060265E">
        <w:t xml:space="preserve"> </w:t>
      </w:r>
      <w:proofErr w:type="spellStart"/>
      <w:r w:rsidRPr="0060265E">
        <w:t>автоматташтыруу</w:t>
      </w:r>
      <w:proofErr w:type="spellEnd"/>
      <w:r w:rsidRPr="0060265E">
        <w:t xml:space="preserve"> </w:t>
      </w:r>
      <w:proofErr w:type="spellStart"/>
      <w:r w:rsidRPr="0060265E">
        <w:t>системасын</w:t>
      </w:r>
      <w:proofErr w:type="spellEnd"/>
      <w:r w:rsidRPr="0060265E">
        <w:t xml:space="preserve"> </w:t>
      </w:r>
      <w:proofErr w:type="spellStart"/>
      <w:r w:rsidRPr="0060265E">
        <w:t>ишке</w:t>
      </w:r>
      <w:proofErr w:type="spellEnd"/>
      <w:r w:rsidRPr="0060265E">
        <w:t xml:space="preserve"> </w:t>
      </w:r>
      <w:proofErr w:type="spellStart"/>
      <w:r w:rsidRPr="0060265E">
        <w:t>киргизүү</w:t>
      </w:r>
      <w:proofErr w:type="spellEnd"/>
      <w:r w:rsidRPr="0060265E">
        <w:t xml:space="preserve"> </w:t>
      </w:r>
      <w:proofErr w:type="spellStart"/>
      <w:r w:rsidRPr="0060265E">
        <w:t>иштери</w:t>
      </w:r>
      <w:proofErr w:type="spellEnd"/>
      <w:r w:rsidRPr="0060265E">
        <w:t xml:space="preserve"> </w:t>
      </w:r>
      <w:proofErr w:type="spellStart"/>
      <w:r w:rsidRPr="0060265E">
        <w:t>аякт</w:t>
      </w:r>
      <w:proofErr w:type="spellEnd"/>
      <w:r w:rsidR="00583DA7" w:rsidRPr="0060265E">
        <w:rPr>
          <w:lang w:val="ky-KG"/>
        </w:rPr>
        <w:t>оо учурунда</w:t>
      </w:r>
      <w:r w:rsidRPr="0060265E">
        <w:t xml:space="preserve">. </w:t>
      </w:r>
      <w:proofErr w:type="spellStart"/>
      <w:r w:rsidRPr="0060265E">
        <w:t>Долбоордун</w:t>
      </w:r>
      <w:proofErr w:type="spellEnd"/>
      <w:r w:rsidRPr="0060265E">
        <w:t xml:space="preserve"> </w:t>
      </w:r>
      <w:proofErr w:type="spellStart"/>
      <w:r w:rsidRPr="0060265E">
        <w:t>алкагында</w:t>
      </w:r>
      <w:proofErr w:type="spellEnd"/>
      <w:r w:rsidRPr="0060265E">
        <w:t xml:space="preserve"> </w:t>
      </w:r>
      <w:proofErr w:type="spellStart"/>
      <w:r w:rsidRPr="0060265E">
        <w:t>күйүүчү</w:t>
      </w:r>
      <w:proofErr w:type="spellEnd"/>
      <w:r w:rsidRPr="0060265E">
        <w:t xml:space="preserve"> </w:t>
      </w:r>
      <w:proofErr w:type="spellStart"/>
      <w:r w:rsidRPr="0060265E">
        <w:t>майды</w:t>
      </w:r>
      <w:proofErr w:type="spellEnd"/>
      <w:r w:rsidRPr="0060265E">
        <w:t xml:space="preserve"> </w:t>
      </w:r>
      <w:proofErr w:type="spellStart"/>
      <w:r w:rsidRPr="0060265E">
        <w:t>кабыл</w:t>
      </w:r>
      <w:proofErr w:type="spellEnd"/>
      <w:r w:rsidRPr="0060265E">
        <w:t xml:space="preserve"> </w:t>
      </w:r>
      <w:proofErr w:type="spellStart"/>
      <w:r w:rsidRPr="0060265E">
        <w:t>алуу</w:t>
      </w:r>
      <w:proofErr w:type="spellEnd"/>
      <w:r w:rsidRPr="0060265E">
        <w:t xml:space="preserve">, </w:t>
      </w:r>
      <w:proofErr w:type="spellStart"/>
      <w:r w:rsidRPr="0060265E">
        <w:t>керектөө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кыймыл</w:t>
      </w:r>
      <w:proofErr w:type="spellEnd"/>
      <w:r w:rsidRPr="0060265E">
        <w:t xml:space="preserve"> </w:t>
      </w:r>
      <w:proofErr w:type="spellStart"/>
      <w:r w:rsidRPr="0060265E">
        <w:t>боюнча</w:t>
      </w:r>
      <w:proofErr w:type="spellEnd"/>
      <w:r w:rsidRPr="0060265E">
        <w:t xml:space="preserve"> </w:t>
      </w:r>
      <w:proofErr w:type="spellStart"/>
      <w:r w:rsidRPr="0060265E">
        <w:t>электрондук</w:t>
      </w:r>
      <w:proofErr w:type="spellEnd"/>
      <w:r w:rsidRPr="0060265E">
        <w:t xml:space="preserve"> </w:t>
      </w:r>
      <w:proofErr w:type="spellStart"/>
      <w:r w:rsidRPr="0060265E">
        <w:t>эсептегичтер</w:t>
      </w:r>
      <w:proofErr w:type="spellEnd"/>
      <w:r w:rsidRPr="0060265E">
        <w:t xml:space="preserve">, </w:t>
      </w:r>
      <w:proofErr w:type="spellStart"/>
      <w:r w:rsidRPr="0060265E">
        <w:t>резервуарлардагы</w:t>
      </w:r>
      <w:proofErr w:type="spellEnd"/>
      <w:r w:rsidRPr="0060265E">
        <w:t xml:space="preserve"> </w:t>
      </w:r>
      <w:proofErr w:type="spellStart"/>
      <w:r w:rsidRPr="0060265E">
        <w:t>учурдагы</w:t>
      </w:r>
      <w:proofErr w:type="spellEnd"/>
      <w:r w:rsidRPr="0060265E">
        <w:t xml:space="preserve"> </w:t>
      </w:r>
      <w:proofErr w:type="spellStart"/>
      <w:r w:rsidRPr="0060265E">
        <w:t>деңгээлди</w:t>
      </w:r>
      <w:proofErr w:type="spellEnd"/>
      <w:r w:rsidRPr="0060265E">
        <w:t xml:space="preserve"> </w:t>
      </w:r>
      <w:proofErr w:type="spellStart"/>
      <w:r w:rsidRPr="0060265E">
        <w:t>реалдуу</w:t>
      </w:r>
      <w:proofErr w:type="spellEnd"/>
      <w:r w:rsidRPr="0060265E">
        <w:t xml:space="preserve"> </w:t>
      </w:r>
      <w:proofErr w:type="spellStart"/>
      <w:r w:rsidRPr="0060265E">
        <w:t>убакытта</w:t>
      </w:r>
      <w:proofErr w:type="spellEnd"/>
      <w:r w:rsidRPr="0060265E">
        <w:t xml:space="preserve"> </w:t>
      </w:r>
      <w:proofErr w:type="spellStart"/>
      <w:r w:rsidRPr="0060265E">
        <w:t>көрсөтүүчү</w:t>
      </w:r>
      <w:proofErr w:type="spellEnd"/>
      <w:r w:rsidRPr="0060265E">
        <w:t xml:space="preserve"> </w:t>
      </w:r>
      <w:proofErr w:type="spellStart"/>
      <w:r w:rsidRPr="0060265E">
        <w:t>түзмөктөр</w:t>
      </w:r>
      <w:proofErr w:type="spellEnd"/>
      <w:r w:rsidRPr="0060265E">
        <w:t xml:space="preserve">, ошондой эле </w:t>
      </w:r>
      <w:proofErr w:type="spellStart"/>
      <w:r w:rsidRPr="0060265E">
        <w:t>борборлоштурулган</w:t>
      </w:r>
      <w:proofErr w:type="spellEnd"/>
      <w:r w:rsidRPr="0060265E">
        <w:t xml:space="preserve"> </w:t>
      </w:r>
      <w:proofErr w:type="spellStart"/>
      <w:r w:rsidRPr="0060265E">
        <w:t>электрондук</w:t>
      </w:r>
      <w:proofErr w:type="spellEnd"/>
      <w:r w:rsidRPr="0060265E">
        <w:t xml:space="preserve"> </w:t>
      </w:r>
      <w:proofErr w:type="spellStart"/>
      <w:r w:rsidRPr="0060265E">
        <w:t>эсептөө</w:t>
      </w:r>
      <w:proofErr w:type="spellEnd"/>
      <w:r w:rsidRPr="0060265E">
        <w:t xml:space="preserve"> </w:t>
      </w:r>
      <w:proofErr w:type="spellStart"/>
      <w:r w:rsidRPr="0060265E">
        <w:t>программасы</w:t>
      </w:r>
      <w:proofErr w:type="spellEnd"/>
      <w:r w:rsidRPr="0060265E">
        <w:t xml:space="preserve"> </w:t>
      </w:r>
      <w:proofErr w:type="spellStart"/>
      <w:r w:rsidRPr="0060265E">
        <w:t>киргизилген</w:t>
      </w:r>
      <w:proofErr w:type="spellEnd"/>
      <w:r w:rsidRPr="0060265E">
        <w:t xml:space="preserve">. </w:t>
      </w:r>
      <w:proofErr w:type="spellStart"/>
      <w:r w:rsidRPr="0060265E">
        <w:t>Бул</w:t>
      </w:r>
      <w:proofErr w:type="spellEnd"/>
      <w:r w:rsidRPr="0060265E">
        <w:t xml:space="preserve"> </w:t>
      </w:r>
      <w:proofErr w:type="spellStart"/>
      <w:r w:rsidRPr="0060265E">
        <w:t>ресурстарды</w:t>
      </w:r>
      <w:proofErr w:type="spellEnd"/>
      <w:r w:rsidRPr="0060265E">
        <w:t xml:space="preserve"> </w:t>
      </w:r>
      <w:proofErr w:type="spellStart"/>
      <w:r w:rsidRPr="0060265E">
        <w:t>башкаруунун</w:t>
      </w:r>
      <w:proofErr w:type="spellEnd"/>
      <w:r w:rsidRPr="0060265E">
        <w:t xml:space="preserve"> </w:t>
      </w:r>
      <w:proofErr w:type="spellStart"/>
      <w:r w:rsidRPr="0060265E">
        <w:t>тактыгын</w:t>
      </w:r>
      <w:proofErr w:type="spellEnd"/>
      <w:r w:rsidRPr="0060265E">
        <w:t xml:space="preserve"> </w:t>
      </w:r>
      <w:proofErr w:type="spellStart"/>
      <w:r w:rsidRPr="0060265E">
        <w:t>жакшыртып</w:t>
      </w:r>
      <w:proofErr w:type="spellEnd"/>
      <w:r w:rsidRPr="0060265E">
        <w:t xml:space="preserve">, </w:t>
      </w:r>
      <w:proofErr w:type="spellStart"/>
      <w:r w:rsidRPr="0060265E">
        <w:t>чыгымдарды</w:t>
      </w:r>
      <w:proofErr w:type="spellEnd"/>
      <w:r w:rsidRPr="0060265E">
        <w:t xml:space="preserve"> </w:t>
      </w:r>
      <w:proofErr w:type="spellStart"/>
      <w:r w:rsidRPr="0060265E">
        <w:t>азайтат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адам </w:t>
      </w:r>
      <w:proofErr w:type="spellStart"/>
      <w:r w:rsidRPr="0060265E">
        <w:t>факторунун</w:t>
      </w:r>
      <w:proofErr w:type="spellEnd"/>
      <w:r w:rsidRPr="0060265E">
        <w:t xml:space="preserve"> </w:t>
      </w:r>
      <w:proofErr w:type="spellStart"/>
      <w:r w:rsidRPr="0060265E">
        <w:t>таасирин</w:t>
      </w:r>
      <w:proofErr w:type="spellEnd"/>
      <w:r w:rsidRPr="0060265E">
        <w:t xml:space="preserve"> </w:t>
      </w:r>
      <w:proofErr w:type="spellStart"/>
      <w:r w:rsidRPr="0060265E">
        <w:t>минималдаштырат</w:t>
      </w:r>
      <w:proofErr w:type="spellEnd"/>
      <w:r w:rsidRPr="0060265E">
        <w:t>.</w:t>
      </w:r>
    </w:p>
    <w:p w14:paraId="657542E2" w14:textId="11CE0AEE" w:rsidR="00CA5EF7" w:rsidRPr="0060265E" w:rsidRDefault="00583DA7" w:rsidP="00CA5EF7">
      <w:pPr>
        <w:ind w:firstLine="720"/>
        <w:jc w:val="both"/>
      </w:pPr>
      <w:r w:rsidRPr="0060265E">
        <w:rPr>
          <w:lang w:val="ky-KG"/>
        </w:rPr>
        <w:t>ТТБ</w:t>
      </w:r>
      <w:r w:rsidR="00CA5EF7" w:rsidRPr="0060265E">
        <w:t xml:space="preserve"> тара</w:t>
      </w:r>
      <w:r w:rsidRPr="0060265E">
        <w:rPr>
          <w:lang w:val="ky-KG"/>
        </w:rPr>
        <w:t>бын</w:t>
      </w:r>
      <w:r w:rsidR="00CA5EF7" w:rsidRPr="0060265E">
        <w:t xml:space="preserve">ан </w:t>
      </w:r>
      <w:proofErr w:type="spellStart"/>
      <w:r w:rsidR="00CA5EF7" w:rsidRPr="0060265E">
        <w:t>колдонулган</w:t>
      </w:r>
      <w:proofErr w:type="spellEnd"/>
      <w:r w:rsidR="00CA5EF7" w:rsidRPr="0060265E">
        <w:t xml:space="preserve"> </w:t>
      </w:r>
      <w:proofErr w:type="spellStart"/>
      <w:r w:rsidR="00CA5EF7" w:rsidRPr="0060265E">
        <w:t>мунайды</w:t>
      </w:r>
      <w:proofErr w:type="spellEnd"/>
      <w:r w:rsidR="00CA5EF7" w:rsidRPr="0060265E">
        <w:t xml:space="preserve"> </w:t>
      </w:r>
      <w:r w:rsidR="00EC1B81" w:rsidRPr="0060265E">
        <w:rPr>
          <w:lang w:val="ky-KG"/>
        </w:rPr>
        <w:t>БЖИ</w:t>
      </w:r>
      <w:r w:rsidR="00CA5EF7" w:rsidRPr="0060265E">
        <w:t xml:space="preserve"> </w:t>
      </w:r>
      <w:proofErr w:type="spellStart"/>
      <w:r w:rsidR="00CA5EF7" w:rsidRPr="0060265E">
        <w:t>бөлүмүнө</w:t>
      </w:r>
      <w:proofErr w:type="spellEnd"/>
      <w:r w:rsidR="00CA5EF7" w:rsidRPr="0060265E">
        <w:t xml:space="preserve"> жар</w:t>
      </w:r>
      <w:r w:rsidR="00EC1B81" w:rsidRPr="0060265E">
        <w:rPr>
          <w:lang w:val="ky-KG"/>
        </w:rPr>
        <w:t>д</w:t>
      </w:r>
      <w:r w:rsidR="00CA5EF7" w:rsidRPr="0060265E">
        <w:t>ы</w:t>
      </w:r>
      <w:r w:rsidR="00EC1B81" w:rsidRPr="0060265E">
        <w:rPr>
          <w:lang w:val="ky-KG"/>
        </w:rPr>
        <w:t>р</w:t>
      </w:r>
      <w:proofErr w:type="spellStart"/>
      <w:r w:rsidR="00CA5EF7" w:rsidRPr="0060265E">
        <w:t>уучу</w:t>
      </w:r>
      <w:proofErr w:type="spellEnd"/>
      <w:r w:rsidR="00CA5EF7" w:rsidRPr="0060265E">
        <w:t xml:space="preserve"> </w:t>
      </w:r>
      <w:proofErr w:type="spellStart"/>
      <w:r w:rsidR="00CA5EF7" w:rsidRPr="0060265E">
        <w:t>заттар</w:t>
      </w:r>
      <w:proofErr w:type="spellEnd"/>
      <w:r w:rsidR="000F419A" w:rsidRPr="0060265E">
        <w:rPr>
          <w:lang w:val="ky-KG"/>
        </w:rPr>
        <w:t>дын курамында ө</w:t>
      </w:r>
      <w:proofErr w:type="spellStart"/>
      <w:r w:rsidR="00CA5EF7" w:rsidRPr="0060265E">
        <w:t>ндүрүштүк</w:t>
      </w:r>
      <w:proofErr w:type="spellEnd"/>
      <w:r w:rsidR="00CA5EF7" w:rsidRPr="0060265E">
        <w:t xml:space="preserve"> </w:t>
      </w:r>
      <w:proofErr w:type="spellStart"/>
      <w:r w:rsidR="00CA5EF7" w:rsidRPr="0060265E">
        <w:t>колдонуу</w:t>
      </w:r>
      <w:proofErr w:type="spellEnd"/>
      <w:r w:rsidR="00CA5EF7" w:rsidRPr="0060265E">
        <w:t xml:space="preserve"> </w:t>
      </w:r>
      <w:proofErr w:type="spellStart"/>
      <w:r w:rsidR="00CA5EF7" w:rsidRPr="0060265E">
        <w:t>үчүн</w:t>
      </w:r>
      <w:proofErr w:type="spellEnd"/>
      <w:r w:rsidR="00CA5EF7" w:rsidRPr="0060265E">
        <w:t xml:space="preserve"> </w:t>
      </w:r>
      <w:r w:rsidR="000F419A" w:rsidRPr="0060265E">
        <w:rPr>
          <w:lang w:val="ky-KG"/>
        </w:rPr>
        <w:t xml:space="preserve">аралаштыруу </w:t>
      </w:r>
      <w:proofErr w:type="spellStart"/>
      <w:r w:rsidR="00CA5EF7" w:rsidRPr="0060265E">
        <w:t>жана</w:t>
      </w:r>
      <w:proofErr w:type="spellEnd"/>
      <w:r w:rsidR="00CA5EF7" w:rsidRPr="0060265E">
        <w:t xml:space="preserve"> </w:t>
      </w:r>
      <w:proofErr w:type="spellStart"/>
      <w:r w:rsidR="00CA5EF7" w:rsidRPr="0060265E">
        <w:t>даярдоо</w:t>
      </w:r>
      <w:proofErr w:type="spellEnd"/>
      <w:r w:rsidR="00CA5EF7" w:rsidRPr="0060265E">
        <w:t xml:space="preserve"> </w:t>
      </w:r>
      <w:proofErr w:type="spellStart"/>
      <w:r w:rsidR="00CA5EF7" w:rsidRPr="0060265E">
        <w:t>иштери</w:t>
      </w:r>
      <w:proofErr w:type="spellEnd"/>
      <w:r w:rsidR="00CA5EF7" w:rsidRPr="0060265E">
        <w:t xml:space="preserve"> </w:t>
      </w:r>
      <w:proofErr w:type="spellStart"/>
      <w:r w:rsidR="00CA5EF7" w:rsidRPr="0060265E">
        <w:t>башталды</w:t>
      </w:r>
      <w:proofErr w:type="spellEnd"/>
      <w:r w:rsidR="00CA5EF7" w:rsidRPr="0060265E">
        <w:t xml:space="preserve">, </w:t>
      </w:r>
      <w:proofErr w:type="spellStart"/>
      <w:r w:rsidR="00CA5EF7" w:rsidRPr="0060265E">
        <w:t>бул</w:t>
      </w:r>
      <w:proofErr w:type="spellEnd"/>
      <w:r w:rsidR="00CA5EF7" w:rsidRPr="0060265E">
        <w:t xml:space="preserve"> </w:t>
      </w:r>
      <w:proofErr w:type="spellStart"/>
      <w:r w:rsidR="00CA5EF7" w:rsidRPr="0060265E">
        <w:t>дизелдик</w:t>
      </w:r>
      <w:proofErr w:type="spellEnd"/>
      <w:r w:rsidR="00CA5EF7" w:rsidRPr="0060265E">
        <w:t xml:space="preserve"> </w:t>
      </w:r>
      <w:proofErr w:type="spellStart"/>
      <w:r w:rsidR="00CA5EF7" w:rsidRPr="0060265E">
        <w:t>күйүүчү</w:t>
      </w:r>
      <w:proofErr w:type="spellEnd"/>
      <w:r w:rsidR="00CA5EF7" w:rsidRPr="0060265E">
        <w:t xml:space="preserve"> </w:t>
      </w:r>
      <w:proofErr w:type="spellStart"/>
      <w:r w:rsidR="00CA5EF7" w:rsidRPr="0060265E">
        <w:t>майдын</w:t>
      </w:r>
      <w:proofErr w:type="spellEnd"/>
      <w:r w:rsidR="00CA5EF7" w:rsidRPr="0060265E">
        <w:t xml:space="preserve"> </w:t>
      </w:r>
      <w:proofErr w:type="spellStart"/>
      <w:r w:rsidR="00CA5EF7" w:rsidRPr="0060265E">
        <w:t>бир</w:t>
      </w:r>
      <w:proofErr w:type="spellEnd"/>
      <w:r w:rsidR="00CA5EF7" w:rsidRPr="0060265E">
        <w:t xml:space="preserve"> </w:t>
      </w:r>
      <w:proofErr w:type="spellStart"/>
      <w:r w:rsidR="00CA5EF7" w:rsidRPr="0060265E">
        <w:t>бөлүгүн</w:t>
      </w:r>
      <w:proofErr w:type="spellEnd"/>
      <w:r w:rsidR="00CA5EF7" w:rsidRPr="0060265E">
        <w:t xml:space="preserve"> </w:t>
      </w:r>
      <w:proofErr w:type="spellStart"/>
      <w:r w:rsidR="00CA5EF7" w:rsidRPr="0060265E">
        <w:t>даярдоо</w:t>
      </w:r>
      <w:proofErr w:type="spellEnd"/>
      <w:r w:rsidR="00CA5EF7" w:rsidRPr="0060265E">
        <w:t xml:space="preserve"> </w:t>
      </w:r>
      <w:proofErr w:type="spellStart"/>
      <w:r w:rsidR="00CA5EF7" w:rsidRPr="0060265E">
        <w:t>учурунда</w:t>
      </w:r>
      <w:proofErr w:type="spellEnd"/>
      <w:r w:rsidR="00CA5EF7" w:rsidRPr="0060265E">
        <w:t xml:space="preserve"> </w:t>
      </w:r>
      <w:proofErr w:type="spellStart"/>
      <w:r w:rsidR="00CA5EF7" w:rsidRPr="0060265E">
        <w:t>алмаштырууга</w:t>
      </w:r>
      <w:proofErr w:type="spellEnd"/>
      <w:r w:rsidR="00CA5EF7" w:rsidRPr="0060265E">
        <w:t xml:space="preserve"> </w:t>
      </w:r>
      <w:proofErr w:type="spellStart"/>
      <w:r w:rsidR="00CA5EF7" w:rsidRPr="0060265E">
        <w:t>жана</w:t>
      </w:r>
      <w:proofErr w:type="spellEnd"/>
      <w:r w:rsidR="00CA5EF7" w:rsidRPr="0060265E">
        <w:t xml:space="preserve"> </w:t>
      </w:r>
      <w:proofErr w:type="spellStart"/>
      <w:r w:rsidR="00CA5EF7" w:rsidRPr="0060265E">
        <w:t>процесстин</w:t>
      </w:r>
      <w:proofErr w:type="spellEnd"/>
      <w:r w:rsidR="00CA5EF7" w:rsidRPr="0060265E">
        <w:t xml:space="preserve"> </w:t>
      </w:r>
      <w:proofErr w:type="spellStart"/>
      <w:r w:rsidR="00CA5EF7" w:rsidRPr="0060265E">
        <w:t>натыйжалуулугун</w:t>
      </w:r>
      <w:proofErr w:type="spellEnd"/>
      <w:r w:rsidR="00CA5EF7" w:rsidRPr="0060265E">
        <w:t xml:space="preserve"> </w:t>
      </w:r>
      <w:proofErr w:type="spellStart"/>
      <w:r w:rsidR="00CA5EF7" w:rsidRPr="0060265E">
        <w:t>жогорулатууга</w:t>
      </w:r>
      <w:proofErr w:type="spellEnd"/>
      <w:r w:rsidR="00CA5EF7" w:rsidRPr="0060265E">
        <w:t xml:space="preserve"> </w:t>
      </w:r>
      <w:proofErr w:type="spellStart"/>
      <w:r w:rsidR="00CA5EF7" w:rsidRPr="0060265E">
        <w:t>мүмкүнчүлүк</w:t>
      </w:r>
      <w:proofErr w:type="spellEnd"/>
      <w:r w:rsidR="00CA5EF7" w:rsidRPr="0060265E">
        <w:t xml:space="preserve"> берет.</w:t>
      </w:r>
    </w:p>
    <w:p w14:paraId="64F2C724" w14:textId="428AC797" w:rsidR="00CA5EF7" w:rsidRPr="0060265E" w:rsidRDefault="00CA5EF7" w:rsidP="00CA5EF7">
      <w:pPr>
        <w:ind w:firstLine="720"/>
        <w:jc w:val="both"/>
      </w:pPr>
      <w:r w:rsidRPr="0060265E">
        <w:t xml:space="preserve">2025-жылы </w:t>
      </w:r>
      <w:proofErr w:type="spellStart"/>
      <w:r w:rsidRPr="0060265E">
        <w:t>пландалган</w:t>
      </w:r>
      <w:proofErr w:type="spellEnd"/>
      <w:r w:rsidRPr="0060265E">
        <w:t xml:space="preserve"> </w:t>
      </w:r>
      <w:r w:rsidR="00633184" w:rsidRPr="0060265E">
        <w:rPr>
          <w:lang w:val="ky-KG"/>
        </w:rPr>
        <w:t xml:space="preserve">унаа паркын </w:t>
      </w:r>
      <w:proofErr w:type="spellStart"/>
      <w:r w:rsidRPr="0060265E">
        <w:t>жаңылоо</w:t>
      </w:r>
      <w:proofErr w:type="spellEnd"/>
      <w:r w:rsidRPr="0060265E">
        <w:t xml:space="preserve"> </w:t>
      </w:r>
      <w:proofErr w:type="spellStart"/>
      <w:r w:rsidRPr="0060265E">
        <w:t>программасынын</w:t>
      </w:r>
      <w:proofErr w:type="spellEnd"/>
      <w:r w:rsidRPr="0060265E">
        <w:t xml:space="preserve"> </w:t>
      </w:r>
      <w:proofErr w:type="spellStart"/>
      <w:r w:rsidRPr="0060265E">
        <w:t>алкагында</w:t>
      </w:r>
      <w:proofErr w:type="spellEnd"/>
      <w:r w:rsidRPr="0060265E">
        <w:t xml:space="preserve">, </w:t>
      </w:r>
      <w:proofErr w:type="spellStart"/>
      <w:r w:rsidRPr="0060265E">
        <w:t>жаңы</w:t>
      </w:r>
      <w:proofErr w:type="spellEnd"/>
      <w:r w:rsidRPr="0060265E">
        <w:t xml:space="preserve"> кен </w:t>
      </w:r>
      <w:proofErr w:type="spellStart"/>
      <w:r w:rsidRPr="0060265E">
        <w:t>казуу</w:t>
      </w:r>
      <w:proofErr w:type="spellEnd"/>
      <w:r w:rsidRPr="0060265E">
        <w:t xml:space="preserve">, </w:t>
      </w:r>
      <w:proofErr w:type="spellStart"/>
      <w:r w:rsidRPr="0060265E">
        <w:t>кошумча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тейлөө</w:t>
      </w:r>
      <w:proofErr w:type="spellEnd"/>
      <w:r w:rsidRPr="0060265E">
        <w:t xml:space="preserve"> </w:t>
      </w:r>
      <w:proofErr w:type="spellStart"/>
      <w:r w:rsidRPr="0060265E">
        <w:t>жабдууларынын</w:t>
      </w:r>
      <w:proofErr w:type="spellEnd"/>
      <w:r w:rsidRPr="0060265E">
        <w:t xml:space="preserve"> </w:t>
      </w:r>
      <w:proofErr w:type="spellStart"/>
      <w:r w:rsidRPr="0060265E">
        <w:t>комплекси</w:t>
      </w:r>
      <w:proofErr w:type="spellEnd"/>
      <w:r w:rsidRPr="0060265E">
        <w:t xml:space="preserve"> </w:t>
      </w:r>
      <w:proofErr w:type="spellStart"/>
      <w:r w:rsidRPr="0060265E">
        <w:t>ишке</w:t>
      </w:r>
      <w:proofErr w:type="spellEnd"/>
      <w:r w:rsidRPr="0060265E">
        <w:t xml:space="preserve"> </w:t>
      </w:r>
      <w:proofErr w:type="spellStart"/>
      <w:r w:rsidRPr="0060265E">
        <w:t>киргизилген</w:t>
      </w:r>
      <w:proofErr w:type="spellEnd"/>
      <w:r w:rsidRPr="0060265E">
        <w:t xml:space="preserve">, </w:t>
      </w:r>
      <w:proofErr w:type="spellStart"/>
      <w:r w:rsidRPr="0060265E">
        <w:t>анын</w:t>
      </w:r>
      <w:proofErr w:type="spellEnd"/>
      <w:r w:rsidRPr="0060265E">
        <w:t xml:space="preserve"> </w:t>
      </w:r>
      <w:proofErr w:type="spellStart"/>
      <w:r w:rsidRPr="0060265E">
        <w:t>ичинде</w:t>
      </w:r>
      <w:proofErr w:type="spellEnd"/>
      <w:r w:rsidRPr="0060265E">
        <w:t xml:space="preserve"> </w:t>
      </w:r>
      <w:proofErr w:type="spellStart"/>
      <w:r w:rsidRPr="0060265E">
        <w:t>бургулоо</w:t>
      </w:r>
      <w:proofErr w:type="spellEnd"/>
      <w:r w:rsidRPr="0060265E">
        <w:t xml:space="preserve"> </w:t>
      </w:r>
      <w:proofErr w:type="spellStart"/>
      <w:r w:rsidRPr="0060265E">
        <w:lastRenderedPageBreak/>
        <w:t>платформалары</w:t>
      </w:r>
      <w:proofErr w:type="spellEnd"/>
      <w:r w:rsidRPr="0060265E">
        <w:t xml:space="preserve">, карьер </w:t>
      </w:r>
      <w:proofErr w:type="spellStart"/>
      <w:r w:rsidRPr="0060265E">
        <w:t>жабдуулары</w:t>
      </w:r>
      <w:proofErr w:type="spellEnd"/>
      <w:r w:rsidRPr="0060265E">
        <w:t xml:space="preserve">, </w:t>
      </w:r>
      <w:proofErr w:type="spellStart"/>
      <w:r w:rsidRPr="0060265E">
        <w:t>атайын</w:t>
      </w:r>
      <w:proofErr w:type="spellEnd"/>
      <w:r w:rsidRPr="0060265E">
        <w:t xml:space="preserve"> </w:t>
      </w:r>
      <w:proofErr w:type="spellStart"/>
      <w:r w:rsidRPr="0060265E">
        <w:t>жабдуулар</w:t>
      </w:r>
      <w:proofErr w:type="spellEnd"/>
      <w:r w:rsidRPr="0060265E">
        <w:t xml:space="preserve">, </w:t>
      </w:r>
      <w:proofErr w:type="spellStart"/>
      <w:r w:rsidRPr="0060265E">
        <w:t>генераторлор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оңдоо</w:t>
      </w:r>
      <w:proofErr w:type="spellEnd"/>
      <w:r w:rsidRPr="0060265E">
        <w:t xml:space="preserve"> </w:t>
      </w:r>
      <w:proofErr w:type="spellStart"/>
      <w:r w:rsidRPr="0060265E">
        <w:t>кызматтары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 </w:t>
      </w:r>
      <w:proofErr w:type="spellStart"/>
      <w:r w:rsidRPr="0060265E">
        <w:t>жабдуулар</w:t>
      </w:r>
      <w:proofErr w:type="spellEnd"/>
      <w:r w:rsidRPr="0060265E">
        <w:t xml:space="preserve"> бар. </w:t>
      </w:r>
      <w:proofErr w:type="spellStart"/>
      <w:r w:rsidRPr="0060265E">
        <w:t>Жаңыртуу</w:t>
      </w:r>
      <w:proofErr w:type="spellEnd"/>
      <w:r w:rsidRPr="0060265E">
        <w:t xml:space="preserve"> техникалык </w:t>
      </w:r>
      <w:proofErr w:type="spellStart"/>
      <w:r w:rsidRPr="0060265E">
        <w:t>даярдык</w:t>
      </w:r>
      <w:proofErr w:type="spellEnd"/>
      <w:r w:rsidRPr="0060265E">
        <w:t xml:space="preserve"> </w:t>
      </w:r>
      <w:proofErr w:type="spellStart"/>
      <w:r w:rsidRPr="0060265E">
        <w:t>боюнча</w:t>
      </w:r>
      <w:proofErr w:type="spellEnd"/>
      <w:r w:rsidRPr="0060265E">
        <w:t xml:space="preserve"> </w:t>
      </w:r>
      <w:proofErr w:type="spellStart"/>
      <w:r w:rsidRPr="0060265E">
        <w:t>максаттуу</w:t>
      </w:r>
      <w:proofErr w:type="spellEnd"/>
      <w:r w:rsidRPr="0060265E">
        <w:t xml:space="preserve"> </w:t>
      </w:r>
      <w:proofErr w:type="spellStart"/>
      <w:r w:rsidRPr="0060265E">
        <w:t>көрсөткүчтөрдү</w:t>
      </w:r>
      <w:proofErr w:type="spellEnd"/>
      <w:r w:rsidRPr="0060265E">
        <w:t xml:space="preserve"> </w:t>
      </w:r>
      <w:proofErr w:type="spellStart"/>
      <w:r w:rsidRPr="0060265E">
        <w:t>сактоого</w:t>
      </w:r>
      <w:proofErr w:type="spellEnd"/>
      <w:r w:rsidRPr="0060265E">
        <w:t xml:space="preserve">, </w:t>
      </w:r>
      <w:proofErr w:type="spellStart"/>
      <w:r w:rsidRPr="0060265E">
        <w:t>өндүрүш</w:t>
      </w:r>
      <w:proofErr w:type="spellEnd"/>
      <w:r w:rsidRPr="0060265E">
        <w:t xml:space="preserve"> </w:t>
      </w:r>
      <w:proofErr w:type="spellStart"/>
      <w:r w:rsidRPr="0060265E">
        <w:t>процесстеринин</w:t>
      </w:r>
      <w:proofErr w:type="spellEnd"/>
      <w:r w:rsidRPr="0060265E">
        <w:t xml:space="preserve"> </w:t>
      </w:r>
      <w:proofErr w:type="spellStart"/>
      <w:r w:rsidRPr="0060265E">
        <w:t>ишенимдүүлүгүн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натыйжалуулугун</w:t>
      </w:r>
      <w:proofErr w:type="spellEnd"/>
      <w:r w:rsidRPr="0060265E">
        <w:t xml:space="preserve"> </w:t>
      </w:r>
      <w:proofErr w:type="spellStart"/>
      <w:r w:rsidRPr="0060265E">
        <w:t>жогорулатууга</w:t>
      </w:r>
      <w:proofErr w:type="spellEnd"/>
      <w:r w:rsidRPr="0060265E">
        <w:t xml:space="preserve"> </w:t>
      </w:r>
      <w:proofErr w:type="spellStart"/>
      <w:r w:rsidRPr="0060265E">
        <w:t>багытталган</w:t>
      </w:r>
      <w:proofErr w:type="spellEnd"/>
      <w:r w:rsidRPr="0060265E">
        <w:t>.</w:t>
      </w:r>
    </w:p>
    <w:p w14:paraId="50CE9C46" w14:textId="3A910051" w:rsidR="00CA5EF7" w:rsidRPr="0060265E" w:rsidRDefault="00CA5EF7" w:rsidP="00CA5EF7">
      <w:pPr>
        <w:ind w:firstLine="720"/>
        <w:jc w:val="both"/>
      </w:pPr>
      <w:r w:rsidRPr="0060265E">
        <w:t xml:space="preserve">2025-жылы </w:t>
      </w:r>
      <w:proofErr w:type="spellStart"/>
      <w:r w:rsidRPr="0060265E">
        <w:t>Жер</w:t>
      </w:r>
      <w:proofErr w:type="spellEnd"/>
      <w:r w:rsidRPr="0060265E">
        <w:t xml:space="preserve"> </w:t>
      </w:r>
      <w:proofErr w:type="spellStart"/>
      <w:r w:rsidRPr="0060265E">
        <w:t>астын</w:t>
      </w:r>
      <w:proofErr w:type="spellEnd"/>
      <w:r w:rsidR="007B2C89" w:rsidRPr="0060265E">
        <w:rPr>
          <w:lang w:val="ky-KG"/>
        </w:rPr>
        <w:t xml:space="preserve">дагы кендерди казуу </w:t>
      </w:r>
      <w:proofErr w:type="spellStart"/>
      <w:r w:rsidRPr="0060265E">
        <w:t>бөлүмү</w:t>
      </w:r>
      <w:proofErr w:type="spellEnd"/>
      <w:r w:rsidRPr="0060265E">
        <w:t xml:space="preserve"> </w:t>
      </w:r>
      <w:proofErr w:type="spellStart"/>
      <w:r w:rsidRPr="0060265E">
        <w:t>жер</w:t>
      </w:r>
      <w:proofErr w:type="spellEnd"/>
      <w:r w:rsidRPr="0060265E">
        <w:t xml:space="preserve"> </w:t>
      </w:r>
      <w:proofErr w:type="spellStart"/>
      <w:r w:rsidRPr="0060265E">
        <w:t>астындагы</w:t>
      </w:r>
      <w:proofErr w:type="spellEnd"/>
      <w:r w:rsidRPr="0060265E">
        <w:t xml:space="preserve"> </w:t>
      </w:r>
      <w:proofErr w:type="spellStart"/>
      <w:r w:rsidRPr="0060265E">
        <w:t>долбоорду</w:t>
      </w:r>
      <w:proofErr w:type="spellEnd"/>
      <w:r w:rsidRPr="0060265E">
        <w:t xml:space="preserve"> </w:t>
      </w:r>
      <w:proofErr w:type="spellStart"/>
      <w:r w:rsidRPr="0060265E">
        <w:t>ишке</w:t>
      </w:r>
      <w:proofErr w:type="spellEnd"/>
      <w:r w:rsidRPr="0060265E">
        <w:t xml:space="preserve"> </w:t>
      </w:r>
      <w:proofErr w:type="spellStart"/>
      <w:r w:rsidRPr="0060265E">
        <w:t>ашырууда</w:t>
      </w:r>
      <w:proofErr w:type="spellEnd"/>
      <w:r w:rsidRPr="0060265E">
        <w:t xml:space="preserve"> </w:t>
      </w:r>
      <w:proofErr w:type="spellStart"/>
      <w:r w:rsidRPr="0060265E">
        <w:t>олуттуу</w:t>
      </w:r>
      <w:proofErr w:type="spellEnd"/>
      <w:r w:rsidRPr="0060265E">
        <w:t xml:space="preserve"> </w:t>
      </w:r>
      <w:proofErr w:type="spellStart"/>
      <w:r w:rsidRPr="0060265E">
        <w:t>ийгиликтерге</w:t>
      </w:r>
      <w:proofErr w:type="spellEnd"/>
      <w:r w:rsidRPr="0060265E">
        <w:t xml:space="preserve"> </w:t>
      </w:r>
      <w:proofErr w:type="spellStart"/>
      <w:r w:rsidRPr="0060265E">
        <w:t>жетишти</w:t>
      </w:r>
      <w:proofErr w:type="spellEnd"/>
      <w:r w:rsidRPr="0060265E">
        <w:t xml:space="preserve">. </w:t>
      </w:r>
      <w:r w:rsidR="007B2C89" w:rsidRPr="0060265E">
        <w:rPr>
          <w:lang w:val="ky-KG"/>
        </w:rPr>
        <w:t xml:space="preserve">Седловина </w:t>
      </w:r>
      <w:r w:rsidRPr="0060265E">
        <w:t xml:space="preserve">(SD) </w:t>
      </w:r>
      <w:proofErr w:type="spellStart"/>
      <w:r w:rsidRPr="0060265E">
        <w:t>жана</w:t>
      </w:r>
      <w:proofErr w:type="spellEnd"/>
      <w:r w:rsidRPr="0060265E">
        <w:t xml:space="preserve"> </w:t>
      </w:r>
      <w:r w:rsidR="007B2C89" w:rsidRPr="0060265E">
        <w:rPr>
          <w:lang w:val="ky-KG"/>
        </w:rPr>
        <w:t xml:space="preserve">Шктокверк </w:t>
      </w:r>
      <w:r w:rsidRPr="0060265E">
        <w:t xml:space="preserve">(SW) </w:t>
      </w:r>
      <w:proofErr w:type="spellStart"/>
      <w:r w:rsidRPr="0060265E">
        <w:t>кендери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 </w:t>
      </w:r>
      <w:r w:rsidRPr="0060265E">
        <w:rPr>
          <w:b/>
          <w:bCs/>
        </w:rPr>
        <w:t>Mining</w:t>
      </w:r>
      <w:r w:rsidRPr="0060265E">
        <w:t xml:space="preserve"> </w:t>
      </w:r>
      <w:r w:rsidRPr="0060265E">
        <w:rPr>
          <w:b/>
          <w:bCs/>
        </w:rPr>
        <w:t>One</w:t>
      </w:r>
      <w:r w:rsidRPr="0060265E">
        <w:t xml:space="preserve"> </w:t>
      </w:r>
      <w:r w:rsidR="00DA7551" w:rsidRPr="0060265E">
        <w:rPr>
          <w:lang w:val="ky-KG"/>
        </w:rPr>
        <w:t>компаниясы</w:t>
      </w:r>
      <w:r w:rsidRPr="0060265E">
        <w:t xml:space="preserve"> </w:t>
      </w:r>
      <w:proofErr w:type="spellStart"/>
      <w:r w:rsidRPr="0060265E">
        <w:t>аймактарды</w:t>
      </w:r>
      <w:proofErr w:type="spellEnd"/>
      <w:r w:rsidRPr="0060265E">
        <w:t xml:space="preserve"> </w:t>
      </w:r>
      <w:r w:rsidR="00DA7551" w:rsidRPr="0060265E">
        <w:rPr>
          <w:lang w:val="ky-KG"/>
        </w:rPr>
        <w:t>иштет</w:t>
      </w:r>
      <w:proofErr w:type="spellStart"/>
      <w:r w:rsidRPr="0060265E">
        <w:t>үүнүн</w:t>
      </w:r>
      <w:proofErr w:type="spellEnd"/>
      <w:r w:rsidRPr="0060265E">
        <w:t xml:space="preserve"> техникалык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экономикалык</w:t>
      </w:r>
      <w:proofErr w:type="spellEnd"/>
      <w:r w:rsidRPr="0060265E">
        <w:t xml:space="preserve"> </w:t>
      </w:r>
      <w:proofErr w:type="spellStart"/>
      <w:r w:rsidRPr="0060265E">
        <w:t>жактан</w:t>
      </w:r>
      <w:proofErr w:type="spellEnd"/>
      <w:r w:rsidRPr="0060265E">
        <w:t xml:space="preserve"> </w:t>
      </w:r>
      <w:proofErr w:type="spellStart"/>
      <w:r w:rsidRPr="0060265E">
        <w:t>натыйжалуулугун</w:t>
      </w:r>
      <w:proofErr w:type="spellEnd"/>
      <w:r w:rsidRPr="0060265E">
        <w:t xml:space="preserve"> </w:t>
      </w:r>
      <w:proofErr w:type="spellStart"/>
      <w:r w:rsidRPr="0060265E">
        <w:t>тастыктаган</w:t>
      </w:r>
      <w:proofErr w:type="spellEnd"/>
      <w:r w:rsidRPr="0060265E">
        <w:t xml:space="preserve"> техникалык-</w:t>
      </w:r>
      <w:proofErr w:type="spellStart"/>
      <w:r w:rsidRPr="0060265E">
        <w:t>экономикалык</w:t>
      </w:r>
      <w:proofErr w:type="spellEnd"/>
      <w:r w:rsidRPr="0060265E">
        <w:t xml:space="preserve"> </w:t>
      </w:r>
      <w:proofErr w:type="spellStart"/>
      <w:r w:rsidRPr="0060265E">
        <w:t>негиздемин</w:t>
      </w:r>
      <w:proofErr w:type="spellEnd"/>
      <w:r w:rsidRPr="0060265E">
        <w:t xml:space="preserve"> </w:t>
      </w:r>
      <w:proofErr w:type="spellStart"/>
      <w:r w:rsidRPr="0060265E">
        <w:t>бүтүрдү</w:t>
      </w:r>
      <w:proofErr w:type="spellEnd"/>
      <w:r w:rsidRPr="0060265E">
        <w:t>.</w:t>
      </w:r>
    </w:p>
    <w:p w14:paraId="214E0E5C" w14:textId="7CBE32F5" w:rsidR="00CA5EF7" w:rsidRPr="0060265E" w:rsidRDefault="00CA5EF7" w:rsidP="00CA5EF7">
      <w:pPr>
        <w:ind w:firstLine="720"/>
        <w:jc w:val="both"/>
      </w:pPr>
      <w:proofErr w:type="spellStart"/>
      <w:r w:rsidRPr="0060265E">
        <w:t>Өндүрүш</w:t>
      </w:r>
      <w:proofErr w:type="spellEnd"/>
      <w:r w:rsidRPr="0060265E">
        <w:t xml:space="preserve"> </w:t>
      </w:r>
      <w:proofErr w:type="spellStart"/>
      <w:r w:rsidRPr="0060265E">
        <w:t>көрсөткүчтөрү</w:t>
      </w:r>
      <w:proofErr w:type="spellEnd"/>
      <w:r w:rsidRPr="0060265E">
        <w:t xml:space="preserve"> да </w:t>
      </w:r>
      <w:proofErr w:type="spellStart"/>
      <w:r w:rsidRPr="0060265E">
        <w:t>маанилүү</w:t>
      </w:r>
      <w:proofErr w:type="spellEnd"/>
      <w:r w:rsidRPr="0060265E">
        <w:t xml:space="preserve"> </w:t>
      </w:r>
      <w:proofErr w:type="spellStart"/>
      <w:r w:rsidRPr="0060265E">
        <w:t>натыйжаларга</w:t>
      </w:r>
      <w:proofErr w:type="spellEnd"/>
      <w:r w:rsidRPr="0060265E">
        <w:t xml:space="preserve"> </w:t>
      </w:r>
      <w:proofErr w:type="spellStart"/>
      <w:r w:rsidRPr="0060265E">
        <w:t>жетишти</w:t>
      </w:r>
      <w:proofErr w:type="spellEnd"/>
      <w:r w:rsidRPr="0060265E">
        <w:t xml:space="preserve">: 1,902 </w:t>
      </w:r>
      <w:r w:rsidR="00DA7551" w:rsidRPr="0060265E">
        <w:rPr>
          <w:lang w:val="ky-KG"/>
        </w:rPr>
        <w:t xml:space="preserve">попгондук </w:t>
      </w:r>
      <w:r w:rsidRPr="0060265E">
        <w:t xml:space="preserve">метр </w:t>
      </w:r>
      <w:proofErr w:type="spellStart"/>
      <w:r w:rsidRPr="0060265E">
        <w:t>туннел</w:t>
      </w:r>
      <w:proofErr w:type="spellEnd"/>
      <w:r w:rsidRPr="0060265E">
        <w:t xml:space="preserve"> </w:t>
      </w:r>
      <w:proofErr w:type="spellStart"/>
      <w:r w:rsidRPr="0060265E">
        <w:t>казылды</w:t>
      </w:r>
      <w:proofErr w:type="spellEnd"/>
      <w:r w:rsidRPr="0060265E">
        <w:t xml:space="preserve">, ал </w:t>
      </w:r>
      <w:proofErr w:type="spellStart"/>
      <w:r w:rsidRPr="0060265E">
        <w:t>эми</w:t>
      </w:r>
      <w:proofErr w:type="spellEnd"/>
      <w:r w:rsidRPr="0060265E">
        <w:t xml:space="preserve"> 2024-жылы 460 метр. </w:t>
      </w:r>
      <w:proofErr w:type="spellStart"/>
      <w:r w:rsidRPr="0060265E">
        <w:t>Терең</w:t>
      </w:r>
      <w:proofErr w:type="spellEnd"/>
      <w:r w:rsidRPr="0060265E">
        <w:t xml:space="preserve"> </w:t>
      </w:r>
      <w:proofErr w:type="spellStart"/>
      <w:r w:rsidRPr="0060265E">
        <w:t>оксидделген</w:t>
      </w:r>
      <w:proofErr w:type="spellEnd"/>
      <w:r w:rsidRPr="0060265E">
        <w:t xml:space="preserve"> (DOX) </w:t>
      </w:r>
      <w:proofErr w:type="spellStart"/>
      <w:r w:rsidRPr="0060265E">
        <w:t>жана</w:t>
      </w:r>
      <w:proofErr w:type="spellEnd"/>
      <w:r w:rsidRPr="0060265E">
        <w:t xml:space="preserve"> </w:t>
      </w:r>
      <w:r w:rsidR="00DA7551" w:rsidRPr="0060265E">
        <w:rPr>
          <w:lang w:val="ky-KG"/>
        </w:rPr>
        <w:t xml:space="preserve">Южный Раздув </w:t>
      </w:r>
      <w:r w:rsidRPr="0060265E">
        <w:t xml:space="preserve">(SB) </w:t>
      </w:r>
      <w:proofErr w:type="spellStart"/>
      <w:r w:rsidRPr="0060265E">
        <w:t>кендеринин</w:t>
      </w:r>
      <w:proofErr w:type="spellEnd"/>
      <w:r w:rsidRPr="0060265E">
        <w:t xml:space="preserve"> </w:t>
      </w:r>
      <w:proofErr w:type="spellStart"/>
      <w:r w:rsidR="003653E2" w:rsidRPr="0060265E">
        <w:t>Scoping</w:t>
      </w:r>
      <w:proofErr w:type="spellEnd"/>
      <w:r w:rsidR="003653E2" w:rsidRPr="0060265E">
        <w:t xml:space="preserve"> Study</w:t>
      </w:r>
      <w:r w:rsidRPr="0060265E">
        <w:t xml:space="preserve"> </w:t>
      </w:r>
      <w:proofErr w:type="spellStart"/>
      <w:r w:rsidRPr="0060265E">
        <w:t>изилдөөсү</w:t>
      </w:r>
      <w:proofErr w:type="spellEnd"/>
      <w:r w:rsidRPr="0060265E">
        <w:t xml:space="preserve"> </w:t>
      </w:r>
      <w:proofErr w:type="spellStart"/>
      <w:r w:rsidRPr="0060265E">
        <w:t>аяктап</w:t>
      </w:r>
      <w:proofErr w:type="spellEnd"/>
      <w:r w:rsidRPr="0060265E">
        <w:t xml:space="preserve">, </w:t>
      </w:r>
      <w:proofErr w:type="spellStart"/>
      <w:r w:rsidRPr="0060265E">
        <w:t>мындан</w:t>
      </w:r>
      <w:proofErr w:type="spellEnd"/>
      <w:r w:rsidRPr="0060265E">
        <w:t xml:space="preserve"> ары </w:t>
      </w:r>
      <w:proofErr w:type="spellStart"/>
      <w:r w:rsidRPr="0060265E">
        <w:t>өнүгүүнүн</w:t>
      </w:r>
      <w:proofErr w:type="spellEnd"/>
      <w:r w:rsidRPr="0060265E">
        <w:t xml:space="preserve"> </w:t>
      </w:r>
      <w:proofErr w:type="spellStart"/>
      <w:r w:rsidRPr="0060265E">
        <w:t>мүмкүнчүлүктөрүн</w:t>
      </w:r>
      <w:proofErr w:type="spellEnd"/>
      <w:r w:rsidRPr="0060265E">
        <w:t xml:space="preserve"> </w:t>
      </w:r>
      <w:proofErr w:type="spellStart"/>
      <w:r w:rsidRPr="0060265E">
        <w:t>тастыктап</w:t>
      </w:r>
      <w:proofErr w:type="spellEnd"/>
      <w:r w:rsidRPr="0060265E">
        <w:t>, техникалык-</w:t>
      </w:r>
      <w:proofErr w:type="spellStart"/>
      <w:r w:rsidRPr="0060265E">
        <w:t>экономикалык</w:t>
      </w:r>
      <w:proofErr w:type="spellEnd"/>
      <w:r w:rsidRPr="0060265E">
        <w:t xml:space="preserve"> </w:t>
      </w:r>
      <w:proofErr w:type="spellStart"/>
      <w:r w:rsidRPr="0060265E">
        <w:t>негиздеме</w:t>
      </w:r>
      <w:proofErr w:type="spellEnd"/>
      <w:r w:rsidRPr="0060265E">
        <w:t xml:space="preserve"> </w:t>
      </w:r>
      <w:proofErr w:type="spellStart"/>
      <w:r w:rsidRPr="0060265E">
        <w:t>боюнча</w:t>
      </w:r>
      <w:proofErr w:type="spellEnd"/>
      <w:r w:rsidRPr="0060265E">
        <w:t xml:space="preserve"> </w:t>
      </w:r>
      <w:proofErr w:type="spellStart"/>
      <w:r w:rsidRPr="0060265E">
        <w:t>келишим</w:t>
      </w:r>
      <w:proofErr w:type="spellEnd"/>
      <w:r w:rsidRPr="0060265E">
        <w:t xml:space="preserve"> </w:t>
      </w:r>
      <w:proofErr w:type="spellStart"/>
      <w:r w:rsidRPr="0060265E">
        <w:t>түзүү</w:t>
      </w:r>
      <w:proofErr w:type="spellEnd"/>
      <w:r w:rsidRPr="0060265E">
        <w:t xml:space="preserve"> </w:t>
      </w:r>
      <w:proofErr w:type="spellStart"/>
      <w:r w:rsidRPr="0060265E">
        <w:t>баскычына</w:t>
      </w:r>
      <w:proofErr w:type="spellEnd"/>
      <w:r w:rsidRPr="0060265E">
        <w:t xml:space="preserve"> </w:t>
      </w:r>
      <w:proofErr w:type="spellStart"/>
      <w:r w:rsidRPr="0060265E">
        <w:t>өтүүгө</w:t>
      </w:r>
      <w:proofErr w:type="spellEnd"/>
      <w:r w:rsidRPr="0060265E">
        <w:t xml:space="preserve"> </w:t>
      </w:r>
      <w:proofErr w:type="spellStart"/>
      <w:r w:rsidRPr="0060265E">
        <w:t>мүмкүнчүлүк</w:t>
      </w:r>
      <w:proofErr w:type="spellEnd"/>
      <w:r w:rsidRPr="0060265E">
        <w:t xml:space="preserve"> </w:t>
      </w:r>
      <w:proofErr w:type="spellStart"/>
      <w:r w:rsidRPr="0060265E">
        <w:t>берди</w:t>
      </w:r>
      <w:proofErr w:type="spellEnd"/>
      <w:r w:rsidRPr="0060265E">
        <w:t xml:space="preserve">. Техникалык </w:t>
      </w:r>
      <w:proofErr w:type="spellStart"/>
      <w:r w:rsidRPr="0060265E">
        <w:t>жетишкендиктердин</w:t>
      </w:r>
      <w:proofErr w:type="spellEnd"/>
      <w:r w:rsidRPr="0060265E">
        <w:t xml:space="preserve"> </w:t>
      </w:r>
      <w:proofErr w:type="spellStart"/>
      <w:r w:rsidRPr="0060265E">
        <w:t>арасында</w:t>
      </w:r>
      <w:proofErr w:type="spellEnd"/>
      <w:r w:rsidRPr="0060265E">
        <w:t xml:space="preserve"> </w:t>
      </w:r>
      <w:proofErr w:type="spellStart"/>
      <w:r w:rsidRPr="0060265E">
        <w:t>жылытуу</w:t>
      </w:r>
      <w:proofErr w:type="spellEnd"/>
      <w:r w:rsidRPr="0060265E">
        <w:t xml:space="preserve"> </w:t>
      </w:r>
      <w:proofErr w:type="spellStart"/>
      <w:r w:rsidRPr="0060265E">
        <w:t>блокторун</w:t>
      </w:r>
      <w:proofErr w:type="spellEnd"/>
      <w:r w:rsidRPr="0060265E">
        <w:t xml:space="preserve"> </w:t>
      </w:r>
      <w:proofErr w:type="spellStart"/>
      <w:r w:rsidRPr="0060265E">
        <w:t>ишке</w:t>
      </w:r>
      <w:proofErr w:type="spellEnd"/>
      <w:r w:rsidRPr="0060265E">
        <w:t xml:space="preserve"> </w:t>
      </w:r>
      <w:proofErr w:type="spellStart"/>
      <w:r w:rsidRPr="0060265E">
        <w:t>киргизүү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Кыргызстандагы</w:t>
      </w:r>
      <w:proofErr w:type="spellEnd"/>
      <w:r w:rsidRPr="0060265E">
        <w:t xml:space="preserve"> </w:t>
      </w:r>
      <w:proofErr w:type="spellStart"/>
      <w:r w:rsidRPr="0060265E">
        <w:t>жалгыз</w:t>
      </w:r>
      <w:proofErr w:type="spellEnd"/>
      <w:r w:rsidRPr="0060265E">
        <w:t xml:space="preserve"> </w:t>
      </w:r>
      <w:proofErr w:type="spellStart"/>
      <w:r w:rsidRPr="0060265E">
        <w:t>кабелдик</w:t>
      </w:r>
      <w:proofErr w:type="spellEnd"/>
      <w:r w:rsidRPr="0060265E">
        <w:t xml:space="preserve"> </w:t>
      </w:r>
      <w:proofErr w:type="spellStart"/>
      <w:r w:rsidRPr="0060265E">
        <w:t>бекитүүчү</w:t>
      </w:r>
      <w:proofErr w:type="spellEnd"/>
      <w:r w:rsidRPr="0060265E">
        <w:t xml:space="preserve"> </w:t>
      </w:r>
      <w:proofErr w:type="spellStart"/>
      <w:r w:rsidRPr="0060265E">
        <w:t>блоктун</w:t>
      </w:r>
      <w:proofErr w:type="spellEnd"/>
      <w:r w:rsidRPr="0060265E">
        <w:t xml:space="preserve"> </w:t>
      </w:r>
      <w:proofErr w:type="spellStart"/>
      <w:r w:rsidRPr="0060265E">
        <w:t>ишке</w:t>
      </w:r>
      <w:proofErr w:type="spellEnd"/>
      <w:r w:rsidRPr="0060265E">
        <w:t xml:space="preserve"> </w:t>
      </w:r>
      <w:proofErr w:type="spellStart"/>
      <w:r w:rsidRPr="0060265E">
        <w:t>киргизилиши</w:t>
      </w:r>
      <w:proofErr w:type="spellEnd"/>
      <w:r w:rsidRPr="0060265E">
        <w:t xml:space="preserve"> бар, </w:t>
      </w:r>
      <w:proofErr w:type="spellStart"/>
      <w:r w:rsidRPr="0060265E">
        <w:t>бул</w:t>
      </w:r>
      <w:proofErr w:type="spellEnd"/>
      <w:r w:rsidRPr="0060265E">
        <w:t xml:space="preserve"> </w:t>
      </w:r>
      <w:proofErr w:type="spellStart"/>
      <w:r w:rsidRPr="0060265E">
        <w:t>өнөр</w:t>
      </w:r>
      <w:proofErr w:type="spellEnd"/>
      <w:r w:rsidRPr="0060265E">
        <w:t xml:space="preserve"> </w:t>
      </w:r>
      <w:proofErr w:type="spellStart"/>
      <w:r w:rsidRPr="0060265E">
        <w:t>жай</w:t>
      </w:r>
      <w:proofErr w:type="spellEnd"/>
      <w:r w:rsidRPr="0060265E">
        <w:t xml:space="preserve"> </w:t>
      </w:r>
      <w:proofErr w:type="spellStart"/>
      <w:r w:rsidRPr="0060265E">
        <w:t>коопсуздугу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технологиялык</w:t>
      </w:r>
      <w:proofErr w:type="spellEnd"/>
      <w:r w:rsidRPr="0060265E">
        <w:t xml:space="preserve"> </w:t>
      </w:r>
      <w:proofErr w:type="spellStart"/>
      <w:r w:rsidRPr="0060265E">
        <w:t>мүмкүнчүлүктөрүн</w:t>
      </w:r>
      <w:proofErr w:type="spellEnd"/>
      <w:r w:rsidRPr="0060265E">
        <w:t xml:space="preserve"> </w:t>
      </w:r>
      <w:proofErr w:type="spellStart"/>
      <w:r w:rsidRPr="0060265E">
        <w:t>жогорулаткан</w:t>
      </w:r>
      <w:proofErr w:type="spellEnd"/>
      <w:r w:rsidRPr="0060265E">
        <w:t xml:space="preserve">. </w:t>
      </w:r>
      <w:proofErr w:type="spellStart"/>
      <w:r w:rsidRPr="0060265E">
        <w:t>Мындан</w:t>
      </w:r>
      <w:proofErr w:type="spellEnd"/>
      <w:r w:rsidRPr="0060265E">
        <w:t xml:space="preserve"> </w:t>
      </w:r>
      <w:proofErr w:type="spellStart"/>
      <w:r w:rsidRPr="0060265E">
        <w:t>тышкары</w:t>
      </w:r>
      <w:proofErr w:type="spellEnd"/>
      <w:r w:rsidRPr="0060265E">
        <w:t xml:space="preserve">, </w:t>
      </w:r>
      <w:proofErr w:type="spellStart"/>
      <w:r w:rsidRPr="0060265E">
        <w:t>жабдуулар</w:t>
      </w:r>
      <w:proofErr w:type="spellEnd"/>
      <w:r w:rsidRPr="0060265E">
        <w:t xml:space="preserve"> </w:t>
      </w:r>
      <w:proofErr w:type="spellStart"/>
      <w:r w:rsidRPr="0060265E">
        <w:t>паркын</w:t>
      </w:r>
      <w:proofErr w:type="spellEnd"/>
      <w:r w:rsidRPr="0060265E">
        <w:t xml:space="preserve"> </w:t>
      </w:r>
      <w:proofErr w:type="spellStart"/>
      <w:r w:rsidRPr="0060265E">
        <w:t>модернизациялоо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 </w:t>
      </w:r>
      <w:proofErr w:type="spellStart"/>
      <w:r w:rsidRPr="0060265E">
        <w:t>төрт</w:t>
      </w:r>
      <w:proofErr w:type="spellEnd"/>
      <w:r w:rsidRPr="0060265E">
        <w:t xml:space="preserve"> </w:t>
      </w:r>
      <w:proofErr w:type="spellStart"/>
      <w:r w:rsidRPr="0060265E">
        <w:t>жаңы</w:t>
      </w:r>
      <w:proofErr w:type="spellEnd"/>
      <w:r w:rsidRPr="0060265E">
        <w:t xml:space="preserve"> </w:t>
      </w:r>
      <w:proofErr w:type="spellStart"/>
      <w:r w:rsidRPr="0060265E">
        <w:t>өзүн-өзү</w:t>
      </w:r>
      <w:proofErr w:type="spellEnd"/>
      <w:r w:rsidRPr="0060265E">
        <w:t xml:space="preserve"> </w:t>
      </w:r>
      <w:proofErr w:type="spellStart"/>
      <w:r w:rsidRPr="0060265E">
        <w:t>жүрүүчү</w:t>
      </w:r>
      <w:proofErr w:type="spellEnd"/>
      <w:r w:rsidRPr="0060265E">
        <w:t xml:space="preserve"> </w:t>
      </w:r>
      <w:proofErr w:type="spellStart"/>
      <w:r w:rsidRPr="0060265E">
        <w:t>бургулоо</w:t>
      </w:r>
      <w:proofErr w:type="spellEnd"/>
      <w:r w:rsidRPr="0060265E">
        <w:t xml:space="preserve"> </w:t>
      </w:r>
      <w:proofErr w:type="spellStart"/>
      <w:r w:rsidRPr="0060265E">
        <w:t>платформасын</w:t>
      </w:r>
      <w:proofErr w:type="spellEnd"/>
      <w:r w:rsidRPr="0060265E">
        <w:t xml:space="preserve"> </w:t>
      </w:r>
      <w:proofErr w:type="spellStart"/>
      <w:r w:rsidRPr="0060265E">
        <w:t>жеткирүү</w:t>
      </w:r>
      <w:proofErr w:type="spellEnd"/>
      <w:r w:rsidRPr="0060265E">
        <w:t xml:space="preserve"> </w:t>
      </w:r>
      <w:proofErr w:type="spellStart"/>
      <w:r w:rsidRPr="0060265E">
        <w:t>боюнча</w:t>
      </w:r>
      <w:proofErr w:type="spellEnd"/>
      <w:r w:rsidRPr="0060265E">
        <w:t xml:space="preserve"> </w:t>
      </w:r>
      <w:proofErr w:type="spellStart"/>
      <w:r w:rsidRPr="0060265E">
        <w:t>келишим</w:t>
      </w:r>
      <w:proofErr w:type="spellEnd"/>
      <w:r w:rsidRPr="0060265E">
        <w:t xml:space="preserve"> </w:t>
      </w:r>
      <w:proofErr w:type="spellStart"/>
      <w:r w:rsidRPr="0060265E">
        <w:t>түзүлгөн</w:t>
      </w:r>
      <w:proofErr w:type="spellEnd"/>
      <w:r w:rsidRPr="0060265E">
        <w:t xml:space="preserve">. </w:t>
      </w:r>
      <w:r w:rsidR="003653E2" w:rsidRPr="0060265E">
        <w:rPr>
          <w:lang w:val="ky-KG"/>
        </w:rPr>
        <w:t xml:space="preserve">Седловина </w:t>
      </w:r>
      <w:r w:rsidRPr="0060265E">
        <w:t xml:space="preserve">(SD) </w:t>
      </w:r>
      <w:proofErr w:type="spellStart"/>
      <w:r w:rsidRPr="0060265E">
        <w:t>жана</w:t>
      </w:r>
      <w:proofErr w:type="spellEnd"/>
      <w:r w:rsidRPr="0060265E">
        <w:t xml:space="preserve"> </w:t>
      </w:r>
      <w:r w:rsidR="003653E2" w:rsidRPr="0060265E">
        <w:rPr>
          <w:lang w:val="ky-KG"/>
        </w:rPr>
        <w:t xml:space="preserve">Штокверк </w:t>
      </w:r>
      <w:r w:rsidRPr="0060265E">
        <w:t xml:space="preserve">(SW) </w:t>
      </w:r>
      <w:proofErr w:type="spellStart"/>
      <w:r w:rsidRPr="0060265E">
        <w:t>кендери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 </w:t>
      </w:r>
      <w:proofErr w:type="spellStart"/>
      <w:r w:rsidRPr="0060265E">
        <w:t>мүмкүнчүлүк</w:t>
      </w:r>
      <w:proofErr w:type="spellEnd"/>
      <w:r w:rsidRPr="0060265E">
        <w:t xml:space="preserve"> </w:t>
      </w:r>
      <w:proofErr w:type="spellStart"/>
      <w:r w:rsidRPr="0060265E">
        <w:t>изилдөөсү</w:t>
      </w:r>
      <w:proofErr w:type="spellEnd"/>
      <w:r w:rsidRPr="0060265E">
        <w:t xml:space="preserve"> </w:t>
      </w:r>
      <w:proofErr w:type="spellStart"/>
      <w:r w:rsidRPr="0060265E">
        <w:t>аяктап</w:t>
      </w:r>
      <w:proofErr w:type="spellEnd"/>
      <w:r w:rsidRPr="0060265E">
        <w:t xml:space="preserve">, Техникалык </w:t>
      </w:r>
      <w:proofErr w:type="spellStart"/>
      <w:r w:rsidRPr="0060265E">
        <w:t>өнүктүрүү</w:t>
      </w:r>
      <w:proofErr w:type="spellEnd"/>
      <w:r w:rsidRPr="0060265E">
        <w:t xml:space="preserve"> </w:t>
      </w:r>
      <w:proofErr w:type="spellStart"/>
      <w:r w:rsidRPr="0060265E">
        <w:t>долбоорун</w:t>
      </w:r>
      <w:proofErr w:type="spellEnd"/>
      <w:r w:rsidRPr="0060265E">
        <w:t xml:space="preserve"> </w:t>
      </w:r>
      <w:proofErr w:type="spellStart"/>
      <w:r w:rsidRPr="0060265E">
        <w:t>түзүү</w:t>
      </w:r>
      <w:proofErr w:type="spellEnd"/>
      <w:r w:rsidRPr="0060265E">
        <w:t xml:space="preserve"> </w:t>
      </w:r>
      <w:proofErr w:type="spellStart"/>
      <w:r w:rsidRPr="0060265E">
        <w:t>иштери</w:t>
      </w:r>
      <w:proofErr w:type="spellEnd"/>
      <w:r w:rsidRPr="0060265E">
        <w:t xml:space="preserve"> </w:t>
      </w:r>
      <w:proofErr w:type="spellStart"/>
      <w:r w:rsidRPr="0060265E">
        <w:t>башталды</w:t>
      </w:r>
      <w:proofErr w:type="spellEnd"/>
      <w:r w:rsidRPr="0060265E">
        <w:t>.</w:t>
      </w:r>
    </w:p>
    <w:p w14:paraId="453E91F5" w14:textId="7585B2DE" w:rsidR="00CA5EF7" w:rsidRPr="0060265E" w:rsidRDefault="00CA5EF7" w:rsidP="00CA5EF7">
      <w:pPr>
        <w:widowControl w:val="0"/>
        <w:ind w:firstLine="720"/>
        <w:jc w:val="both"/>
      </w:pPr>
      <w:r w:rsidRPr="0060265E">
        <w:t xml:space="preserve">Кыргыз </w:t>
      </w:r>
      <w:proofErr w:type="spellStart"/>
      <w:r w:rsidRPr="0060265E">
        <w:t>Республикасынын</w:t>
      </w:r>
      <w:proofErr w:type="spellEnd"/>
      <w:r w:rsidRPr="0060265E">
        <w:t xml:space="preserve"> </w:t>
      </w:r>
      <w:proofErr w:type="spellStart"/>
      <w:r w:rsidRPr="0060265E">
        <w:t>Министрлер</w:t>
      </w:r>
      <w:proofErr w:type="spellEnd"/>
      <w:r w:rsidRPr="0060265E">
        <w:t xml:space="preserve"> </w:t>
      </w:r>
      <w:proofErr w:type="spellStart"/>
      <w:r w:rsidRPr="0060265E">
        <w:t>Кабинетинин</w:t>
      </w:r>
      <w:proofErr w:type="spellEnd"/>
      <w:r w:rsidRPr="0060265E">
        <w:t xml:space="preserve"> </w:t>
      </w:r>
      <w:r w:rsidR="00503E3C" w:rsidRPr="0060265E">
        <w:rPr>
          <w:lang w:val="ky-KG"/>
        </w:rPr>
        <w:t xml:space="preserve">тескемесине </w:t>
      </w:r>
      <w:proofErr w:type="spellStart"/>
      <w:r w:rsidRPr="0060265E">
        <w:t>ылайык</w:t>
      </w:r>
      <w:proofErr w:type="spellEnd"/>
      <w:r w:rsidRPr="0060265E">
        <w:t xml:space="preserve">, Тоголок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Жанарт</w:t>
      </w:r>
      <w:proofErr w:type="spellEnd"/>
      <w:r w:rsidRPr="0060265E">
        <w:t xml:space="preserve"> </w:t>
      </w:r>
      <w:proofErr w:type="spellStart"/>
      <w:r w:rsidRPr="0060265E">
        <w:t>лицензиялык</w:t>
      </w:r>
      <w:proofErr w:type="spellEnd"/>
      <w:r w:rsidRPr="0060265E">
        <w:t xml:space="preserve"> </w:t>
      </w:r>
      <w:proofErr w:type="spellStart"/>
      <w:r w:rsidRPr="0060265E">
        <w:t>аймактарынын</w:t>
      </w:r>
      <w:proofErr w:type="spellEnd"/>
      <w:r w:rsidRPr="0060265E">
        <w:t xml:space="preserve"> </w:t>
      </w:r>
      <w:proofErr w:type="spellStart"/>
      <w:r w:rsidRPr="0060265E">
        <w:t>контурлары</w:t>
      </w:r>
      <w:proofErr w:type="spellEnd"/>
      <w:r w:rsidRPr="0060265E">
        <w:t xml:space="preserve"> </w:t>
      </w:r>
      <w:proofErr w:type="spellStart"/>
      <w:r w:rsidRPr="0060265E">
        <w:t>өзгөртүлгөн</w:t>
      </w:r>
      <w:proofErr w:type="spellEnd"/>
      <w:r w:rsidRPr="0060265E">
        <w:t xml:space="preserve">. </w:t>
      </w:r>
      <w:proofErr w:type="spellStart"/>
      <w:r w:rsidRPr="0060265E">
        <w:t>Бул</w:t>
      </w:r>
      <w:proofErr w:type="spellEnd"/>
      <w:r w:rsidRPr="0060265E">
        <w:t xml:space="preserve"> </w:t>
      </w:r>
      <w:proofErr w:type="spellStart"/>
      <w:r w:rsidRPr="0060265E">
        <w:t>өзгөрүүлөрдүн</w:t>
      </w:r>
      <w:proofErr w:type="spellEnd"/>
      <w:r w:rsidRPr="0060265E">
        <w:t xml:space="preserve"> </w:t>
      </w:r>
      <w:proofErr w:type="spellStart"/>
      <w:r w:rsidRPr="0060265E">
        <w:t>негизинде</w:t>
      </w:r>
      <w:proofErr w:type="spellEnd"/>
      <w:r w:rsidRPr="0060265E">
        <w:t xml:space="preserve"> </w:t>
      </w:r>
      <w:proofErr w:type="spellStart"/>
      <w:r w:rsidRPr="0060265E">
        <w:t>жаңы</w:t>
      </w:r>
      <w:proofErr w:type="spellEnd"/>
      <w:r w:rsidRPr="0060265E">
        <w:t xml:space="preserve"> </w:t>
      </w:r>
      <w:proofErr w:type="spellStart"/>
      <w:r w:rsidRPr="0060265E">
        <w:t>лицензиялык</w:t>
      </w:r>
      <w:proofErr w:type="spellEnd"/>
      <w:r w:rsidRPr="0060265E">
        <w:t xml:space="preserve"> </w:t>
      </w:r>
      <w:r w:rsidR="008B50FB" w:rsidRPr="0060265E">
        <w:rPr>
          <w:lang w:val="ky-KG"/>
        </w:rPr>
        <w:t>№</w:t>
      </w:r>
      <w:r w:rsidR="008B50FB" w:rsidRPr="0060265E">
        <w:t xml:space="preserve">3 </w:t>
      </w:r>
      <w:proofErr w:type="spellStart"/>
      <w:r w:rsidR="008B50FB" w:rsidRPr="0060265E">
        <w:t>жана</w:t>
      </w:r>
      <w:proofErr w:type="spellEnd"/>
      <w:r w:rsidR="008B50FB" w:rsidRPr="0060265E">
        <w:t xml:space="preserve"> </w:t>
      </w:r>
      <w:r w:rsidR="008B50FB" w:rsidRPr="0060265E">
        <w:rPr>
          <w:lang w:val="ky-KG"/>
        </w:rPr>
        <w:t>№</w:t>
      </w:r>
      <w:r w:rsidR="008B50FB" w:rsidRPr="0060265E">
        <w:t xml:space="preserve">4 </w:t>
      </w:r>
      <w:proofErr w:type="spellStart"/>
      <w:r w:rsidRPr="0060265E">
        <w:t>келишимдер</w:t>
      </w:r>
      <w:proofErr w:type="spellEnd"/>
      <w:r w:rsidR="008B50FB" w:rsidRPr="0060265E">
        <w:rPr>
          <w:lang w:val="ky-KG"/>
        </w:rPr>
        <w:t xml:space="preserve"> - </w:t>
      </w:r>
      <w:proofErr w:type="spellStart"/>
      <w:r w:rsidRPr="0060265E">
        <w:t>иштеп</w:t>
      </w:r>
      <w:proofErr w:type="spellEnd"/>
      <w:r w:rsidRPr="0060265E">
        <w:t xml:space="preserve"> </w:t>
      </w:r>
      <w:proofErr w:type="spellStart"/>
      <w:r w:rsidRPr="0060265E">
        <w:t>чыгуу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чалгындоо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 берилген.</w:t>
      </w:r>
    </w:p>
    <w:p w14:paraId="1600560A" w14:textId="4FF280C5" w:rsidR="00CA5EF7" w:rsidRPr="0060265E" w:rsidRDefault="00CA5EF7" w:rsidP="00CA5EF7">
      <w:pPr>
        <w:widowControl w:val="0"/>
        <w:ind w:firstLine="720"/>
        <w:jc w:val="both"/>
      </w:pPr>
      <w:r w:rsidRPr="0060265E">
        <w:t xml:space="preserve">Кыргыз </w:t>
      </w:r>
      <w:proofErr w:type="spellStart"/>
      <w:r w:rsidRPr="0060265E">
        <w:t>Республикасынын</w:t>
      </w:r>
      <w:proofErr w:type="spellEnd"/>
      <w:r w:rsidRPr="0060265E">
        <w:t xml:space="preserve"> </w:t>
      </w:r>
      <w:proofErr w:type="spellStart"/>
      <w:r w:rsidRPr="0060265E">
        <w:t>Министрлер</w:t>
      </w:r>
      <w:proofErr w:type="spellEnd"/>
      <w:r w:rsidRPr="0060265E">
        <w:t xml:space="preserve"> </w:t>
      </w:r>
      <w:proofErr w:type="spellStart"/>
      <w:r w:rsidRPr="0060265E">
        <w:t>Кабинетинин</w:t>
      </w:r>
      <w:proofErr w:type="spellEnd"/>
      <w:r w:rsidRPr="0060265E">
        <w:t xml:space="preserve"> </w:t>
      </w:r>
      <w:r w:rsidR="00503E3C" w:rsidRPr="0060265E">
        <w:rPr>
          <w:lang w:val="ky-KG"/>
        </w:rPr>
        <w:t xml:space="preserve">тескемеси </w:t>
      </w:r>
      <w:r w:rsidRPr="0060265E">
        <w:t xml:space="preserve">менен КГК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КОКко</w:t>
      </w:r>
      <w:proofErr w:type="spellEnd"/>
      <w:r w:rsidRPr="0060265E">
        <w:t xml:space="preserve"> Кумт</w:t>
      </w:r>
      <w:r w:rsidR="00503E3C" w:rsidRPr="0060265E">
        <w:rPr>
          <w:lang w:val="ky-KG"/>
        </w:rPr>
        <w:t>ө</w:t>
      </w:r>
      <w:r w:rsidRPr="0060265E">
        <w:t>р, Карасай-К</w:t>
      </w:r>
      <w:r w:rsidR="00503E3C" w:rsidRPr="0060265E">
        <w:rPr>
          <w:lang w:val="ky-KG"/>
        </w:rPr>
        <w:t>оенду</w:t>
      </w:r>
      <w:r w:rsidRPr="0060265E">
        <w:t xml:space="preserve">, </w:t>
      </w:r>
      <w:r w:rsidR="00503E3C" w:rsidRPr="0060265E">
        <w:rPr>
          <w:lang w:val="ky-KG"/>
        </w:rPr>
        <w:t>Жаңарт</w:t>
      </w:r>
      <w:r w:rsidRPr="0060265E">
        <w:t xml:space="preserve">, Тоголок </w:t>
      </w:r>
      <w:proofErr w:type="spellStart"/>
      <w:r w:rsidRPr="0060265E">
        <w:t>кендериндеги</w:t>
      </w:r>
      <w:proofErr w:type="spellEnd"/>
      <w:r w:rsidRPr="0060265E">
        <w:t xml:space="preserve"> </w:t>
      </w:r>
      <w:proofErr w:type="spellStart"/>
      <w:r w:rsidRPr="0060265E">
        <w:t>объектилерди</w:t>
      </w:r>
      <w:proofErr w:type="spellEnd"/>
      <w:r w:rsidRPr="0060265E">
        <w:t xml:space="preserve"> </w:t>
      </w:r>
      <w:proofErr w:type="spellStart"/>
      <w:r w:rsidRPr="0060265E">
        <w:t>долбоорлоо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куруу</w:t>
      </w:r>
      <w:proofErr w:type="spellEnd"/>
      <w:r w:rsidRPr="0060265E">
        <w:t xml:space="preserve"> </w:t>
      </w:r>
      <w:proofErr w:type="spellStart"/>
      <w:r w:rsidRPr="0060265E">
        <w:t>процесстерин</w:t>
      </w:r>
      <w:proofErr w:type="spellEnd"/>
      <w:r w:rsidRPr="0060265E">
        <w:t xml:space="preserve"> </w:t>
      </w:r>
      <w:proofErr w:type="spellStart"/>
      <w:r w:rsidRPr="0060265E">
        <w:t>бириктирүүгө</w:t>
      </w:r>
      <w:proofErr w:type="spellEnd"/>
      <w:r w:rsidRPr="0060265E">
        <w:t xml:space="preserve"> </w:t>
      </w:r>
      <w:proofErr w:type="spellStart"/>
      <w:r w:rsidRPr="0060265E">
        <w:t>уруксат</w:t>
      </w:r>
      <w:proofErr w:type="spellEnd"/>
      <w:r w:rsidRPr="0060265E">
        <w:t xml:space="preserve"> </w:t>
      </w:r>
      <w:proofErr w:type="spellStart"/>
      <w:r w:rsidRPr="0060265E">
        <w:t>алынган</w:t>
      </w:r>
      <w:proofErr w:type="spellEnd"/>
      <w:r w:rsidRPr="0060265E">
        <w:t xml:space="preserve">, ошондой эле Балыкчы </w:t>
      </w:r>
      <w:proofErr w:type="spellStart"/>
      <w:r w:rsidRPr="0060265E">
        <w:t>жана</w:t>
      </w:r>
      <w:proofErr w:type="spellEnd"/>
      <w:r w:rsidRPr="0060265E">
        <w:t xml:space="preserve"> </w:t>
      </w:r>
      <w:r w:rsidRPr="0060265E">
        <w:rPr>
          <w:iCs/>
        </w:rPr>
        <w:t>Токмок</w:t>
      </w:r>
      <w:r w:rsidRPr="0060265E">
        <w:t xml:space="preserve"> </w:t>
      </w:r>
      <w:proofErr w:type="spellStart"/>
      <w:r w:rsidRPr="0060265E">
        <w:t>шаарларында</w:t>
      </w:r>
      <w:proofErr w:type="spellEnd"/>
      <w:r w:rsidRPr="0060265E">
        <w:t>.</w:t>
      </w:r>
    </w:p>
    <w:p w14:paraId="25F180D8" w14:textId="2E6F1DB8" w:rsidR="00CA5EF7" w:rsidRPr="0060265E" w:rsidRDefault="00CA5EF7" w:rsidP="00CA5EF7">
      <w:pPr>
        <w:widowControl w:val="0"/>
        <w:ind w:firstLine="720"/>
        <w:jc w:val="both"/>
      </w:pPr>
      <w:r w:rsidRPr="0060265E">
        <w:t xml:space="preserve">Эл </w:t>
      </w:r>
      <w:proofErr w:type="spellStart"/>
      <w:r w:rsidRPr="0060265E">
        <w:t>аралык</w:t>
      </w:r>
      <w:proofErr w:type="spellEnd"/>
      <w:r w:rsidRPr="0060265E">
        <w:t xml:space="preserve"> </w:t>
      </w:r>
      <w:proofErr w:type="spellStart"/>
      <w:r w:rsidRPr="0060265E">
        <w:t>рынокто</w:t>
      </w:r>
      <w:proofErr w:type="spellEnd"/>
      <w:r w:rsidRPr="0060265E">
        <w:t xml:space="preserve"> кайра </w:t>
      </w:r>
      <w:proofErr w:type="spellStart"/>
      <w:r w:rsidRPr="0060265E">
        <w:t>камсыздандыруу</w:t>
      </w:r>
      <w:proofErr w:type="spellEnd"/>
      <w:r w:rsidRPr="0060265E">
        <w:t xml:space="preserve"> сертификаты </w:t>
      </w:r>
      <w:proofErr w:type="spellStart"/>
      <w:r w:rsidRPr="0060265E">
        <w:t>алынган</w:t>
      </w:r>
      <w:proofErr w:type="spellEnd"/>
      <w:r w:rsidRPr="0060265E">
        <w:t xml:space="preserve">, ал </w:t>
      </w:r>
      <w:proofErr w:type="spellStart"/>
      <w:r w:rsidRPr="0060265E">
        <w:t>КГКнын</w:t>
      </w:r>
      <w:proofErr w:type="spellEnd"/>
      <w:r w:rsidRPr="0060265E">
        <w:t xml:space="preserve"> </w:t>
      </w:r>
      <w:proofErr w:type="spellStart"/>
      <w:r w:rsidRPr="0060265E">
        <w:t>мүлк</w:t>
      </w:r>
      <w:proofErr w:type="spellEnd"/>
      <w:r w:rsidRPr="0060265E">
        <w:t xml:space="preserve"> </w:t>
      </w:r>
      <w:proofErr w:type="spellStart"/>
      <w:r w:rsidRPr="0060265E">
        <w:t>комплекси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 </w:t>
      </w:r>
      <w:proofErr w:type="spellStart"/>
      <w:r w:rsidRPr="0060265E">
        <w:t>учурдагы</w:t>
      </w:r>
      <w:proofErr w:type="spellEnd"/>
      <w:r w:rsidRPr="0060265E">
        <w:t xml:space="preserve"> </w:t>
      </w:r>
      <w:proofErr w:type="spellStart"/>
      <w:r w:rsidRPr="0060265E">
        <w:t>камсыздандыруу</w:t>
      </w:r>
      <w:proofErr w:type="spellEnd"/>
      <w:r w:rsidRPr="0060265E">
        <w:t xml:space="preserve"> </w:t>
      </w:r>
      <w:proofErr w:type="spellStart"/>
      <w:r w:rsidRPr="0060265E">
        <w:t>келишими</w:t>
      </w:r>
      <w:proofErr w:type="spellEnd"/>
      <w:r w:rsidRPr="0060265E">
        <w:t xml:space="preserve"> </w:t>
      </w:r>
      <w:proofErr w:type="spellStart"/>
      <w:r w:rsidRPr="0060265E">
        <w:t>боюнча</w:t>
      </w:r>
      <w:proofErr w:type="spellEnd"/>
      <w:r w:rsidRPr="0060265E">
        <w:t xml:space="preserve"> </w:t>
      </w:r>
      <w:proofErr w:type="spellStart"/>
      <w:r w:rsidRPr="0060265E">
        <w:t>бардык</w:t>
      </w:r>
      <w:proofErr w:type="spellEnd"/>
      <w:r w:rsidRPr="0060265E">
        <w:t xml:space="preserve"> </w:t>
      </w:r>
      <w:proofErr w:type="spellStart"/>
      <w:r w:rsidRPr="0060265E">
        <w:t>тобокелдиктерге</w:t>
      </w:r>
      <w:proofErr w:type="spellEnd"/>
      <w:r w:rsidRPr="0060265E">
        <w:t xml:space="preserve"> </w:t>
      </w:r>
      <w:proofErr w:type="spellStart"/>
      <w:r w:rsidRPr="0060265E">
        <w:t>каршы</w:t>
      </w:r>
      <w:proofErr w:type="spellEnd"/>
      <w:r w:rsidRPr="0060265E">
        <w:t xml:space="preserve"> </w:t>
      </w:r>
      <w:r w:rsidR="00745E0F" w:rsidRPr="0060265E">
        <w:rPr>
          <w:lang w:val="ky-KG"/>
        </w:rPr>
        <w:t>98</w:t>
      </w:r>
      <w:r w:rsidRPr="0060265E">
        <w:t>%</w:t>
      </w:r>
      <w:proofErr w:type="spellStart"/>
      <w:r w:rsidRPr="0060265E">
        <w:t>ын</w:t>
      </w:r>
      <w:proofErr w:type="spellEnd"/>
      <w:r w:rsidRPr="0060265E">
        <w:t xml:space="preserve"> </w:t>
      </w:r>
      <w:proofErr w:type="spellStart"/>
      <w:r w:rsidRPr="0060265E">
        <w:t>камсыздайт</w:t>
      </w:r>
      <w:proofErr w:type="spellEnd"/>
      <w:r w:rsidRPr="0060265E">
        <w:t>.</w:t>
      </w:r>
    </w:p>
    <w:p w14:paraId="3CE8B5B0" w14:textId="77777777" w:rsidR="00CA5EF7" w:rsidRPr="0060265E" w:rsidRDefault="00CA5EF7" w:rsidP="00CA5EF7">
      <w:pPr>
        <w:widowControl w:val="0"/>
        <w:spacing w:before="120" w:after="120"/>
        <w:ind w:firstLine="720"/>
        <w:jc w:val="both"/>
      </w:pPr>
    </w:p>
    <w:p w14:paraId="468EE4E6" w14:textId="59B24677" w:rsidR="00CA5EF7" w:rsidRPr="0060265E" w:rsidRDefault="00745E0F" w:rsidP="00CA5EF7">
      <w:pPr>
        <w:pStyle w:val="ListParagraph"/>
        <w:spacing w:after="120" w:line="252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265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КГКнын ишмердүүлүгүнүн </w:t>
      </w:r>
      <w:proofErr w:type="spellStart"/>
      <w:r w:rsidR="00CA5EF7" w:rsidRPr="0060265E">
        <w:rPr>
          <w:rFonts w:ascii="Times New Roman" w:eastAsia="Times New Roman" w:hAnsi="Times New Roman" w:cs="Times New Roman"/>
          <w:b/>
          <w:sz w:val="24"/>
          <w:szCs w:val="24"/>
        </w:rPr>
        <w:t>негизги</w:t>
      </w:r>
      <w:proofErr w:type="spellEnd"/>
      <w:r w:rsidR="00CA5EF7" w:rsidRPr="00602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5EF7" w:rsidRPr="0060265E">
        <w:rPr>
          <w:rFonts w:ascii="Times New Roman" w:eastAsia="Times New Roman" w:hAnsi="Times New Roman" w:cs="Times New Roman"/>
          <w:b/>
          <w:sz w:val="24"/>
          <w:szCs w:val="24"/>
        </w:rPr>
        <w:t>өндүрүш</w:t>
      </w:r>
      <w:proofErr w:type="spellEnd"/>
      <w:r w:rsidR="001E011C" w:rsidRPr="0060265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түк</w:t>
      </w:r>
      <w:r w:rsidR="00CA5EF7" w:rsidRPr="00602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5EF7" w:rsidRPr="0060265E">
        <w:rPr>
          <w:rFonts w:ascii="Times New Roman" w:eastAsia="Times New Roman" w:hAnsi="Times New Roman" w:cs="Times New Roman"/>
          <w:b/>
          <w:sz w:val="24"/>
          <w:szCs w:val="24"/>
        </w:rPr>
        <w:t>жана</w:t>
      </w:r>
      <w:proofErr w:type="spellEnd"/>
      <w:r w:rsidR="00CA5EF7" w:rsidRPr="00602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265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финансылык </w:t>
      </w:r>
      <w:proofErr w:type="spellStart"/>
      <w:r w:rsidR="00CA5EF7" w:rsidRPr="0060265E">
        <w:rPr>
          <w:rFonts w:ascii="Times New Roman" w:eastAsia="Times New Roman" w:hAnsi="Times New Roman" w:cs="Times New Roman"/>
          <w:b/>
          <w:sz w:val="24"/>
          <w:szCs w:val="24"/>
        </w:rPr>
        <w:t>жыйынтыктары</w:t>
      </w:r>
      <w:proofErr w:type="spellEnd"/>
    </w:p>
    <w:p w14:paraId="72F01BBA" w14:textId="77777777" w:rsidR="00CA5EF7" w:rsidRPr="0060265E" w:rsidRDefault="00CA5EF7" w:rsidP="00CA5EF7">
      <w:pPr>
        <w:pStyle w:val="ListParagraph"/>
        <w:spacing w:after="120" w:line="252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23" w:type="dxa"/>
        <w:tblLayout w:type="fixed"/>
        <w:tblLook w:val="04A0" w:firstRow="1" w:lastRow="0" w:firstColumn="1" w:lastColumn="0" w:noHBand="0" w:noVBand="1"/>
      </w:tblPr>
      <w:tblGrid>
        <w:gridCol w:w="7223"/>
        <w:gridCol w:w="1232"/>
        <w:gridCol w:w="1268"/>
      </w:tblGrid>
      <w:tr w:rsidR="00CA5EF7" w:rsidRPr="0060265E" w14:paraId="03C86AD6" w14:textId="77777777" w:rsidTr="00DE5CBB">
        <w:trPr>
          <w:trHeight w:val="737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60D" w14:textId="5F92002D" w:rsidR="00CA5EF7" w:rsidRPr="0060265E" w:rsidRDefault="00CA5EF7" w:rsidP="00DE5CB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0265E">
              <w:rPr>
                <w:b/>
                <w:bCs/>
                <w:sz w:val="20"/>
                <w:szCs w:val="20"/>
                <w:lang w:eastAsia="en-US"/>
              </w:rPr>
              <w:t xml:space="preserve">Эгер </w:t>
            </w:r>
            <w:proofErr w:type="spellStart"/>
            <w:r w:rsidRPr="0060265E">
              <w:rPr>
                <w:b/>
                <w:bCs/>
                <w:sz w:val="20"/>
                <w:szCs w:val="20"/>
                <w:lang w:eastAsia="en-US"/>
              </w:rPr>
              <w:t>башкача</w:t>
            </w:r>
            <w:proofErr w:type="spellEnd"/>
            <w:r w:rsidRPr="0060265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b/>
                <w:bCs/>
                <w:sz w:val="20"/>
                <w:szCs w:val="20"/>
                <w:lang w:eastAsia="en-US"/>
              </w:rPr>
              <w:t>көрсөтүлбөсө</w:t>
            </w:r>
            <w:proofErr w:type="spellEnd"/>
            <w:r w:rsidRPr="0060265E"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r w:rsidR="001E011C" w:rsidRPr="0060265E">
              <w:rPr>
                <w:b/>
                <w:bCs/>
                <w:sz w:val="20"/>
                <w:szCs w:val="20"/>
                <w:lang w:val="ky-KG" w:eastAsia="en-US"/>
              </w:rPr>
              <w:t>млн</w:t>
            </w:r>
            <w:r w:rsidRPr="0060265E">
              <w:rPr>
                <w:b/>
                <w:bCs/>
                <w:sz w:val="20"/>
                <w:szCs w:val="20"/>
                <w:lang w:eastAsia="en-US"/>
              </w:rPr>
              <w:t xml:space="preserve"> АКШ доллары менен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D1E5B" w14:textId="77777777" w:rsidR="00CA5EF7" w:rsidRPr="0060265E" w:rsidRDefault="00CA5EF7" w:rsidP="00DE5CBB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0265E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2544A" w14:textId="77777777" w:rsidR="00CA5EF7" w:rsidRPr="0060265E" w:rsidRDefault="00CA5EF7" w:rsidP="00DE5CB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0265E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</w:tr>
      <w:tr w:rsidR="00CA5EF7" w:rsidRPr="0060265E" w14:paraId="3EA2FC07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3FF3" w14:textId="2CDE1AD0" w:rsidR="00CA5EF7" w:rsidRPr="0060265E" w:rsidRDefault="001E011C" w:rsidP="00DE5CBB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60265E">
              <w:rPr>
                <w:b/>
                <w:bCs/>
                <w:sz w:val="20"/>
                <w:szCs w:val="20"/>
                <w:lang w:val="ky-KG" w:eastAsia="en-US"/>
              </w:rPr>
              <w:t>Негизги финансылык көрсөткүчтө</w:t>
            </w:r>
            <w:r w:rsidR="00CA5EF7" w:rsidRPr="0060265E">
              <w:rPr>
                <w:b/>
                <w:bCs/>
                <w:sz w:val="20"/>
                <w:szCs w:val="20"/>
                <w:lang w:eastAsia="en-US"/>
              </w:rPr>
              <w:t>р: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2D90" w14:textId="77777777" w:rsidR="00CA5EF7" w:rsidRPr="0060265E" w:rsidRDefault="00CA5EF7" w:rsidP="00DE5CBB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0265E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B073" w14:textId="77777777" w:rsidR="00CA5EF7" w:rsidRPr="0060265E" w:rsidRDefault="00CA5EF7" w:rsidP="00DE5CBB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0265E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CA5EF7" w:rsidRPr="0060265E" w14:paraId="5D02C776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60A1" w14:textId="77777777" w:rsidR="00CA5EF7" w:rsidRPr="0060265E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60265E">
              <w:rPr>
                <w:sz w:val="20"/>
                <w:szCs w:val="20"/>
                <w:lang w:eastAsia="en-US"/>
              </w:rPr>
              <w:t>Киреше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A9ED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1434,6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ADBB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989,1</w:t>
            </w:r>
          </w:p>
        </w:tc>
      </w:tr>
      <w:tr w:rsidR="00CA5EF7" w:rsidRPr="0060265E" w14:paraId="3B4DE4EB" w14:textId="77777777" w:rsidTr="00DE5CBB">
        <w:trPr>
          <w:trHeight w:hRule="exact" w:val="29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AD342" w14:textId="7A0CE208" w:rsidR="00CA5EF7" w:rsidRPr="0060265E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60265E">
              <w:rPr>
                <w:sz w:val="20"/>
                <w:szCs w:val="20"/>
                <w:lang w:eastAsia="en-US"/>
              </w:rPr>
              <w:t>Сатуу</w:t>
            </w:r>
            <w:proofErr w:type="spellEnd"/>
            <w:r w:rsidR="001E011C" w:rsidRPr="0060265E">
              <w:rPr>
                <w:sz w:val="20"/>
                <w:szCs w:val="20"/>
                <w:lang w:val="ky-KG" w:eastAsia="en-US"/>
              </w:rPr>
              <w:t>нун өздүк</w:t>
            </w:r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наркы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75935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440,5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EBA5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411,1</w:t>
            </w:r>
          </w:p>
        </w:tc>
      </w:tr>
      <w:tr w:rsidR="00CA5EF7" w:rsidRPr="0060265E" w14:paraId="1A6A58B8" w14:textId="77777777" w:rsidTr="00DE5CBB">
        <w:trPr>
          <w:trHeight w:hRule="exact" w:val="29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3EC41" w14:textId="27C9BE0F" w:rsidR="00CA5EF7" w:rsidRPr="0060265E" w:rsidRDefault="00CA5EF7" w:rsidP="00DE5CBB">
            <w:pPr>
              <w:jc w:val="both"/>
              <w:rPr>
                <w:sz w:val="20"/>
                <w:szCs w:val="20"/>
                <w:lang w:val="ky-KG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 xml:space="preserve">Башка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операциялык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чыгымдар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жана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киреше</w:t>
            </w:r>
            <w:proofErr w:type="spellEnd"/>
            <w:r w:rsidR="001E011C" w:rsidRPr="0060265E">
              <w:rPr>
                <w:sz w:val="20"/>
                <w:szCs w:val="20"/>
                <w:lang w:val="ky-KG" w:eastAsia="en-US"/>
              </w:rPr>
              <w:t>лер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B4E22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316,3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43FE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189,4</w:t>
            </w:r>
          </w:p>
        </w:tc>
      </w:tr>
      <w:tr w:rsidR="00CA5EF7" w:rsidRPr="0060265E" w14:paraId="09ED83C2" w14:textId="77777777" w:rsidTr="00DE5CBB">
        <w:trPr>
          <w:trHeight w:hRule="exact" w:val="29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3E9E" w14:textId="238B21BA" w:rsidR="00CA5EF7" w:rsidRPr="0060265E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 xml:space="preserve">Башка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операциялык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эмес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чыгымдар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жана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киреше</w:t>
            </w:r>
            <w:proofErr w:type="spellEnd"/>
            <w:r w:rsidR="001E011C" w:rsidRPr="0060265E">
              <w:rPr>
                <w:sz w:val="20"/>
                <w:szCs w:val="20"/>
                <w:lang w:val="ky-KG" w:eastAsia="en-US"/>
              </w:rPr>
              <w:t>лер</w:t>
            </w:r>
            <w:r w:rsidRPr="0060265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20F1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(28,4)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ACF8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(8,8)</w:t>
            </w:r>
          </w:p>
        </w:tc>
      </w:tr>
      <w:tr w:rsidR="00CA5EF7" w:rsidRPr="0060265E" w14:paraId="791DD1A2" w14:textId="77777777" w:rsidTr="00DE5CBB">
        <w:trPr>
          <w:trHeight w:hRule="exact" w:val="293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5EE6" w14:textId="77777777" w:rsidR="00CA5EF7" w:rsidRPr="0060265E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 xml:space="preserve">Таза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киреше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8AF4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706,1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6D9C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397,4</w:t>
            </w:r>
          </w:p>
        </w:tc>
      </w:tr>
      <w:tr w:rsidR="00CA5EF7" w:rsidRPr="0060265E" w14:paraId="44391350" w14:textId="77777777" w:rsidTr="00DE5CBB">
        <w:trPr>
          <w:trHeight w:hRule="exact" w:val="8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03D80" w14:textId="77777777" w:rsidR="00CA5EF7" w:rsidRPr="0060265E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FE8B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BFF6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5EF7" w:rsidRPr="0060265E" w14:paraId="43D0A105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C0D3" w14:textId="2B99B04E" w:rsidR="00CA5EF7" w:rsidRPr="0060265E" w:rsidRDefault="00CA5EF7" w:rsidP="00DE5CBB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60265E">
              <w:rPr>
                <w:b/>
                <w:bCs/>
                <w:sz w:val="20"/>
                <w:szCs w:val="20"/>
                <w:lang w:eastAsia="en-US"/>
              </w:rPr>
              <w:t>Негизги</w:t>
            </w:r>
            <w:proofErr w:type="spellEnd"/>
            <w:r w:rsidRPr="0060265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b/>
                <w:bCs/>
                <w:sz w:val="20"/>
                <w:szCs w:val="20"/>
                <w:lang w:eastAsia="en-US"/>
              </w:rPr>
              <w:t>өндүрүш</w:t>
            </w:r>
            <w:proofErr w:type="spellEnd"/>
            <w:r w:rsidRPr="0060265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b/>
                <w:bCs/>
                <w:sz w:val="20"/>
                <w:szCs w:val="20"/>
                <w:lang w:eastAsia="en-US"/>
              </w:rPr>
              <w:t>көрсөткүчтөр</w:t>
            </w:r>
            <w:proofErr w:type="spellEnd"/>
            <w:r w:rsidRPr="0060265E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338D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53FB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5EF7" w:rsidRPr="0060265E" w14:paraId="4A1B625B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18AE" w14:textId="77777777" w:rsidR="00CA5EF7" w:rsidRPr="0060265E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 xml:space="preserve">Кен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казуу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иштеринин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көлөмү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миң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тонна)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9936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182 773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89D4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189 089</w:t>
            </w:r>
          </w:p>
        </w:tc>
      </w:tr>
      <w:tr w:rsidR="00CA5EF7" w:rsidRPr="0060265E" w14:paraId="122D1E1D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1CD2" w14:textId="129215EB" w:rsidR="00CA5EF7" w:rsidRPr="0060265E" w:rsidRDefault="001E011C" w:rsidP="00DE5CBB">
            <w:pPr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val="ky-KG" w:eastAsia="en-US"/>
              </w:rPr>
              <w:t xml:space="preserve">Өндүрүлгөн товардык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кендин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көлөмү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миң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тонна)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5D02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5 807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02D2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7 286</w:t>
            </w:r>
          </w:p>
        </w:tc>
      </w:tr>
      <w:tr w:rsidR="00CA5EF7" w:rsidRPr="0060265E" w14:paraId="7DB2B579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00B2" w14:textId="3BB90ABB" w:rsidR="00CA5EF7" w:rsidRPr="0060265E" w:rsidRDefault="001E011C" w:rsidP="00DE5CBB">
            <w:pPr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val="ky-KG" w:eastAsia="en-US"/>
              </w:rPr>
              <w:t xml:space="preserve">Өндүрулгөн рудадагы </w:t>
            </w:r>
            <w:r w:rsidR="00E32004" w:rsidRPr="0060265E">
              <w:rPr>
                <w:sz w:val="20"/>
                <w:szCs w:val="20"/>
                <w:lang w:val="ky-KG" w:eastAsia="en-US"/>
              </w:rPr>
              <w:t>алтындын о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рточо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r w:rsidR="00E32004" w:rsidRPr="0060265E">
              <w:rPr>
                <w:sz w:val="20"/>
                <w:szCs w:val="20"/>
                <w:lang w:val="ky-KG" w:eastAsia="en-US"/>
              </w:rPr>
              <w:t>курамы</w:t>
            </w:r>
            <w:r w:rsidR="00CA5EF7" w:rsidRPr="0060265E">
              <w:rPr>
                <w:sz w:val="20"/>
                <w:szCs w:val="20"/>
                <w:lang w:eastAsia="en-US"/>
              </w:rPr>
              <w:t xml:space="preserve"> (г/т)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9569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2,39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DACC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2,27</w:t>
            </w:r>
          </w:p>
        </w:tc>
      </w:tr>
      <w:tr w:rsidR="00CA5EF7" w:rsidRPr="0060265E" w14:paraId="2F6EEB0B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DC6A" w14:textId="4B86CE8A" w:rsidR="00CA5EF7" w:rsidRPr="0060265E" w:rsidRDefault="00E32004" w:rsidP="00DE5CBB">
            <w:pPr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val="ky-KG" w:eastAsia="en-US"/>
              </w:rPr>
              <w:t>Кайра и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Иштетилген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r w:rsidRPr="0060265E">
              <w:rPr>
                <w:sz w:val="20"/>
                <w:szCs w:val="20"/>
                <w:lang w:val="ky-KG" w:eastAsia="en-US"/>
              </w:rPr>
              <w:t>руданын</w:t>
            </w:r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көлөмү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миң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тонна)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CB948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6 453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D2C6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6 383</w:t>
            </w:r>
          </w:p>
        </w:tc>
      </w:tr>
      <w:tr w:rsidR="00CA5EF7" w:rsidRPr="0060265E" w14:paraId="2F366BD8" w14:textId="77777777" w:rsidTr="00DE5CBB">
        <w:trPr>
          <w:trHeight w:val="268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DB2A" w14:textId="57DE1A5E" w:rsidR="00CA5EF7" w:rsidRPr="0060265E" w:rsidRDefault="00E32004" w:rsidP="00DE5CBB">
            <w:pPr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val="ky-KG" w:eastAsia="en-US"/>
              </w:rPr>
              <w:t xml:space="preserve">АЫФка </w:t>
            </w:r>
            <w:r w:rsidR="00CA5EF7" w:rsidRPr="0060265E">
              <w:rPr>
                <w:sz w:val="20"/>
                <w:szCs w:val="20"/>
                <w:lang w:eastAsia="en-US"/>
              </w:rPr>
              <w:t xml:space="preserve">берилген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рудадагы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r w:rsidRPr="0060265E">
              <w:rPr>
                <w:sz w:val="20"/>
                <w:szCs w:val="20"/>
                <w:lang w:val="ky-KG" w:eastAsia="en-US"/>
              </w:rPr>
              <w:t xml:space="preserve">алтындын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орточо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r w:rsidRPr="0060265E">
              <w:rPr>
                <w:sz w:val="20"/>
                <w:szCs w:val="20"/>
                <w:lang w:val="ky-KG" w:eastAsia="en-US"/>
              </w:rPr>
              <w:t xml:space="preserve">курамы </w:t>
            </w:r>
            <w:r w:rsidR="00CA5EF7" w:rsidRPr="0060265E">
              <w:rPr>
                <w:sz w:val="20"/>
                <w:szCs w:val="20"/>
                <w:lang w:eastAsia="en-US"/>
              </w:rPr>
              <w:t>(г/т)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AFC1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2,46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3C42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2,68</w:t>
            </w:r>
          </w:p>
        </w:tc>
      </w:tr>
      <w:tr w:rsidR="00CA5EF7" w:rsidRPr="0060265E" w14:paraId="1BD753E2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1C54" w14:textId="0F7EB152" w:rsidR="00CA5EF7" w:rsidRPr="0060265E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60265E">
              <w:rPr>
                <w:sz w:val="20"/>
                <w:szCs w:val="20"/>
                <w:lang w:eastAsia="en-US"/>
              </w:rPr>
              <w:t>Алтынды</w:t>
            </w:r>
            <w:proofErr w:type="spellEnd"/>
            <w:r w:rsidR="00E32004" w:rsidRPr="0060265E">
              <w:rPr>
                <w:sz w:val="20"/>
                <w:szCs w:val="20"/>
                <w:lang w:val="ky-KG" w:eastAsia="en-US"/>
              </w:rPr>
              <w:t xml:space="preserve"> ылгоо коэффициенти</w:t>
            </w:r>
            <w:r w:rsidRPr="0060265E">
              <w:rPr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A635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76,00%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1FC4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73,25%</w:t>
            </w:r>
          </w:p>
        </w:tc>
      </w:tr>
      <w:tr w:rsidR="00CA5EF7" w:rsidRPr="0060265E" w14:paraId="3C4612E6" w14:textId="77777777" w:rsidTr="00DE5CBB">
        <w:trPr>
          <w:trHeight w:hRule="exact" w:val="8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C8FD" w14:textId="77777777" w:rsidR="00CA5EF7" w:rsidRPr="0060265E" w:rsidRDefault="00CA5EF7" w:rsidP="00DE5CB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5B1E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5323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CA5EF7" w:rsidRPr="0060265E" w14:paraId="338AEBB5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C955" w14:textId="689A8F34" w:rsidR="00CA5EF7" w:rsidRPr="0060265E" w:rsidRDefault="00CA5EF7" w:rsidP="00DE5CB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0265E">
              <w:rPr>
                <w:sz w:val="20"/>
                <w:szCs w:val="20"/>
                <w:lang w:eastAsia="en-US"/>
              </w:rPr>
              <w:t>Жалпы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казуу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r w:rsidR="00E32004" w:rsidRPr="0060265E">
              <w:rPr>
                <w:sz w:val="20"/>
                <w:szCs w:val="20"/>
                <w:lang w:val="ky-KG" w:eastAsia="en-US"/>
              </w:rPr>
              <w:t xml:space="preserve">иштерине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чыгымдар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тоннасына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АКШ доллары менен)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287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1,27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B086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1,26</w:t>
            </w:r>
          </w:p>
        </w:tc>
      </w:tr>
      <w:tr w:rsidR="00CA5EF7" w:rsidRPr="0060265E" w14:paraId="2DF26D18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4F39" w14:textId="3803C611" w:rsidR="00CA5EF7" w:rsidRPr="0060265E" w:rsidRDefault="00E32004" w:rsidP="00DE5CBB">
            <w:pPr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val="ky-KG" w:eastAsia="en-US"/>
              </w:rPr>
              <w:lastRenderedPageBreak/>
              <w:t xml:space="preserve">АЫФта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жалпы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иштетүү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чыгымдары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CA5EF7" w:rsidRPr="0060265E">
              <w:rPr>
                <w:sz w:val="20"/>
                <w:szCs w:val="20"/>
                <w:lang w:eastAsia="en-US"/>
              </w:rPr>
              <w:t>тоннасына</w:t>
            </w:r>
            <w:proofErr w:type="spellEnd"/>
            <w:r w:rsidR="00CA5EF7" w:rsidRPr="0060265E">
              <w:rPr>
                <w:sz w:val="20"/>
                <w:szCs w:val="20"/>
                <w:lang w:eastAsia="en-US"/>
              </w:rPr>
              <w:t xml:space="preserve"> АКШ доллары менен)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410E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16,23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9FF6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16,82</w:t>
            </w:r>
          </w:p>
        </w:tc>
      </w:tr>
      <w:tr w:rsidR="00CA5EF7" w:rsidRPr="0060265E" w14:paraId="03A22D66" w14:textId="77777777" w:rsidTr="00DE5CBB">
        <w:trPr>
          <w:trHeight w:hRule="exact" w:val="8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0B8F" w14:textId="77777777" w:rsidR="00CA5EF7" w:rsidRPr="0060265E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3E9F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3327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CA5EF7" w:rsidRPr="0060265E" w14:paraId="2A9800E1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771" w14:textId="77777777" w:rsidR="00CA5EF7" w:rsidRPr="0060265E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Өндүрүлгөн алтын (унция)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5AC64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388 418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595C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403 558</w:t>
            </w:r>
          </w:p>
        </w:tc>
      </w:tr>
      <w:tr w:rsidR="00CA5EF7" w:rsidRPr="0060265E" w14:paraId="7769B1D4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8524" w14:textId="35C2FC93" w:rsidR="00CA5EF7" w:rsidRPr="0060265E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Өндүрүлгөн алтын (килограмм)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81E9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12 081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43B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12 552</w:t>
            </w:r>
          </w:p>
        </w:tc>
      </w:tr>
      <w:tr w:rsidR="00CA5EF7" w:rsidRPr="0060265E" w14:paraId="3D631334" w14:textId="77777777" w:rsidTr="00DE5CBB">
        <w:trPr>
          <w:trHeight w:val="27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0D46" w14:textId="77777777" w:rsidR="00CA5EF7" w:rsidRPr="0060265E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60265E">
              <w:rPr>
                <w:sz w:val="20"/>
                <w:szCs w:val="20"/>
                <w:lang w:eastAsia="en-US"/>
              </w:rPr>
              <w:t>Сатылган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алтын (унция)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089F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386 616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C5EE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402 092</w:t>
            </w:r>
          </w:p>
        </w:tc>
      </w:tr>
      <w:tr w:rsidR="00CA5EF7" w:rsidRPr="0060265E" w14:paraId="6A531F3A" w14:textId="77777777" w:rsidTr="00DE5CBB">
        <w:trPr>
          <w:trHeight w:val="27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8045" w14:textId="53376A97" w:rsidR="00CA5EF7" w:rsidRPr="0060265E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60265E">
              <w:rPr>
                <w:sz w:val="20"/>
                <w:szCs w:val="20"/>
                <w:lang w:eastAsia="en-US"/>
              </w:rPr>
              <w:t>Сатылган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алтын (килограмм)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8A65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12 025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086D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12 506</w:t>
            </w:r>
          </w:p>
        </w:tc>
      </w:tr>
      <w:tr w:rsidR="00CA5EF7" w:rsidRPr="0060265E" w14:paraId="33EFFF83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E7EA" w14:textId="505A0DBF" w:rsidR="00CA5EF7" w:rsidRPr="0060265E" w:rsidRDefault="00CA5EF7" w:rsidP="00DE5CB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0265E">
              <w:rPr>
                <w:sz w:val="20"/>
                <w:szCs w:val="20"/>
                <w:lang w:eastAsia="en-US"/>
              </w:rPr>
              <w:t>Орточо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</w:t>
            </w:r>
            <w:r w:rsidR="00E32004" w:rsidRPr="0060265E">
              <w:rPr>
                <w:sz w:val="20"/>
                <w:szCs w:val="20"/>
                <w:lang w:val="ky-KG" w:eastAsia="en-US"/>
              </w:rPr>
              <w:t xml:space="preserve">сатуу 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баа</w:t>
            </w:r>
            <w:proofErr w:type="spellEnd"/>
            <w:r w:rsidR="00E32004" w:rsidRPr="0060265E">
              <w:rPr>
                <w:sz w:val="20"/>
                <w:szCs w:val="20"/>
                <w:lang w:val="ky-KG" w:eastAsia="en-US"/>
              </w:rPr>
              <w:t>сы</w:t>
            </w:r>
            <w:r w:rsidRPr="0060265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0265E">
              <w:rPr>
                <w:sz w:val="20"/>
                <w:szCs w:val="20"/>
                <w:lang w:eastAsia="en-US"/>
              </w:rPr>
              <w:t>унциясына</w:t>
            </w:r>
            <w:proofErr w:type="spellEnd"/>
            <w:r w:rsidRPr="0060265E">
              <w:rPr>
                <w:sz w:val="20"/>
                <w:szCs w:val="20"/>
                <w:lang w:eastAsia="en-US"/>
              </w:rPr>
              <w:t xml:space="preserve"> АКШ доллары менен)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A871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$3 711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C5E0" w14:textId="77777777" w:rsidR="00CA5EF7" w:rsidRPr="0060265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0265E">
              <w:rPr>
                <w:sz w:val="20"/>
                <w:szCs w:val="20"/>
                <w:lang w:eastAsia="en-US"/>
              </w:rPr>
              <w:t>$2 460</w:t>
            </w:r>
          </w:p>
        </w:tc>
      </w:tr>
    </w:tbl>
    <w:p w14:paraId="192A15F7" w14:textId="1DFF83DD" w:rsidR="00CA5EF7" w:rsidRPr="0060265E" w:rsidRDefault="00CA5EF7" w:rsidP="00CA5EF7">
      <w:pPr>
        <w:spacing w:after="160" w:line="259" w:lineRule="auto"/>
        <w:rPr>
          <w:b/>
          <w:lang w:val="ky-KG"/>
        </w:rPr>
      </w:pPr>
      <w:r w:rsidRPr="0060265E">
        <w:rPr>
          <w:b/>
          <w:bCs/>
        </w:rPr>
        <w:br w:type="page"/>
      </w:r>
      <w:proofErr w:type="spellStart"/>
      <w:r w:rsidRPr="0060265E">
        <w:rPr>
          <w:b/>
        </w:rPr>
        <w:lastRenderedPageBreak/>
        <w:t>Өндүрүш</w:t>
      </w:r>
      <w:proofErr w:type="spellEnd"/>
      <w:r w:rsidRPr="0060265E">
        <w:rPr>
          <w:b/>
        </w:rPr>
        <w:t xml:space="preserve"> </w:t>
      </w:r>
      <w:proofErr w:type="spellStart"/>
      <w:r w:rsidRPr="0060265E">
        <w:rPr>
          <w:b/>
        </w:rPr>
        <w:t>ишмердүүлү</w:t>
      </w:r>
      <w:proofErr w:type="spellEnd"/>
      <w:r w:rsidR="00E32004" w:rsidRPr="0060265E">
        <w:rPr>
          <w:b/>
          <w:lang w:val="ky-KG"/>
        </w:rPr>
        <w:t>к</w:t>
      </w:r>
    </w:p>
    <w:p w14:paraId="3CB13782" w14:textId="77777777" w:rsidR="002F7E07" w:rsidRPr="0060265E" w:rsidRDefault="002F7E07" w:rsidP="002F7E07">
      <w:pPr>
        <w:jc w:val="both"/>
        <w:rPr>
          <w:lang w:val="ky-KG"/>
        </w:rPr>
      </w:pPr>
      <w:r w:rsidRPr="0060265E">
        <w:rPr>
          <w:lang w:val="ky-KG"/>
        </w:rPr>
        <w:t>2025-жылы алтын өндүрүү, мурда казылып алынган руда запастарын кайра иштетүүнү кошкондо, 388 418 унция же 12 081 кг алтынды түзгөн.</w:t>
      </w:r>
    </w:p>
    <w:p w14:paraId="75AB3B3C" w14:textId="77777777" w:rsidR="002F7E07" w:rsidRPr="0060265E" w:rsidRDefault="002F7E07" w:rsidP="002F7E07">
      <w:pPr>
        <w:jc w:val="both"/>
        <w:rPr>
          <w:lang w:val="ky-KG"/>
        </w:rPr>
      </w:pPr>
    </w:p>
    <w:p w14:paraId="5D5AE998" w14:textId="61CD4924" w:rsidR="00CA5EF7" w:rsidRPr="0060265E" w:rsidRDefault="002F7E07" w:rsidP="002F7E07">
      <w:pPr>
        <w:jc w:val="both"/>
        <w:rPr>
          <w:lang w:val="ky-KG"/>
        </w:rPr>
      </w:pPr>
      <w:r w:rsidRPr="0060265E">
        <w:rPr>
          <w:lang w:val="ky-KG"/>
        </w:rPr>
        <w:t>2025-жылы фабрикага ар кандай курамдагы запастардан жеткирилген рудадагы алтындын курамы орточо эсеп менен 2,46 г/т түзүп, алтынды ылгап алуу көрсөткүчү 76,0% түзгөн. 2025-жылы 2025-жылга карата атайын тоо-кен долбооруна ылайык, Кумтөр кениндеги иштер Борбордук жана Түштүк-Батыш ачык карьерлеринде жүргүзүлгөн. Кумтөр кениндеги казып алуу көлөмү 2025-жылы 182,8 миллион тоннаны түзгөн.</w:t>
      </w:r>
    </w:p>
    <w:p w14:paraId="03C05CD7" w14:textId="77777777" w:rsidR="00CA5EF7" w:rsidRPr="0060265E" w:rsidRDefault="00CA5EF7" w:rsidP="00CA5EF7">
      <w:pPr>
        <w:pStyle w:val="ListParagraph"/>
        <w:spacing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657CF" w14:textId="77777777" w:rsidR="00CA5EF7" w:rsidRPr="0060265E" w:rsidRDefault="00CA5EF7" w:rsidP="00CA5EF7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53606A" w14:textId="77777777" w:rsidR="00CA5EF7" w:rsidRPr="0060265E" w:rsidRDefault="00CA5EF7" w:rsidP="00CA5EF7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0265E">
        <w:rPr>
          <w:rFonts w:ascii="Times New Roman" w:eastAsia="Times New Roman" w:hAnsi="Times New Roman" w:cs="Times New Roman"/>
          <w:b/>
          <w:bCs/>
          <w:sz w:val="24"/>
          <w:szCs w:val="24"/>
        </w:rPr>
        <w:t>Даяр</w:t>
      </w:r>
      <w:proofErr w:type="spellEnd"/>
      <w:r w:rsidRPr="00602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265E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продукцияны</w:t>
      </w:r>
      <w:proofErr w:type="spellEnd"/>
      <w:r w:rsidRPr="00602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265E">
        <w:rPr>
          <w:rFonts w:ascii="Times New Roman" w:eastAsia="Times New Roman" w:hAnsi="Times New Roman" w:cs="Times New Roman"/>
          <w:b/>
          <w:bCs/>
          <w:sz w:val="24"/>
          <w:szCs w:val="24"/>
        </w:rPr>
        <w:t>сатуу</w:t>
      </w:r>
      <w:proofErr w:type="spellEnd"/>
    </w:p>
    <w:p w14:paraId="7CA68F88" w14:textId="77777777" w:rsidR="00CA5EF7" w:rsidRPr="0060265E" w:rsidRDefault="00CA5EF7" w:rsidP="00CA5EF7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EBBEB1" w14:textId="70C4B512" w:rsidR="00EF422F" w:rsidRPr="0060265E" w:rsidRDefault="00EF422F" w:rsidP="00EF422F">
      <w:pPr>
        <w:spacing w:after="160"/>
        <w:jc w:val="both"/>
      </w:pPr>
      <w:r w:rsidRPr="0060265E">
        <w:t xml:space="preserve">Кумтөр </w:t>
      </w:r>
      <w:proofErr w:type="spellStart"/>
      <w:r w:rsidRPr="0060265E">
        <w:t>кенинде</w:t>
      </w:r>
      <w:proofErr w:type="spellEnd"/>
      <w:r w:rsidRPr="0060265E">
        <w:t xml:space="preserve"> өндүрүлгөн Доре </w:t>
      </w:r>
      <w:proofErr w:type="spellStart"/>
      <w:r w:rsidRPr="0060265E">
        <w:t>куймалары</w:t>
      </w:r>
      <w:proofErr w:type="spellEnd"/>
      <w:r w:rsidRPr="0060265E">
        <w:t xml:space="preserve"> 2024-жылы Кыргыз </w:t>
      </w:r>
      <w:proofErr w:type="spellStart"/>
      <w:r w:rsidRPr="0060265E">
        <w:t>Республикасынын</w:t>
      </w:r>
      <w:proofErr w:type="spellEnd"/>
      <w:r w:rsidRPr="0060265E">
        <w:t xml:space="preserve"> </w:t>
      </w:r>
      <w:proofErr w:type="spellStart"/>
      <w:r w:rsidRPr="0060265E">
        <w:t>атынан</w:t>
      </w:r>
      <w:proofErr w:type="spellEnd"/>
      <w:r w:rsidRPr="0060265E">
        <w:t xml:space="preserve"> «Кумтөр Голд Компани» ЖАК, «Кыргызалтын» ААК </w:t>
      </w:r>
      <w:proofErr w:type="spellStart"/>
      <w:r w:rsidRPr="0060265E">
        <w:t>жана</w:t>
      </w:r>
      <w:proofErr w:type="spellEnd"/>
      <w:r w:rsidRPr="0060265E">
        <w:t xml:space="preserve"> Кыргыз </w:t>
      </w:r>
      <w:proofErr w:type="spellStart"/>
      <w:r w:rsidRPr="0060265E">
        <w:t>Республикасынын</w:t>
      </w:r>
      <w:proofErr w:type="spellEnd"/>
      <w:r w:rsidRPr="0060265E">
        <w:t xml:space="preserve"> </w:t>
      </w:r>
      <w:proofErr w:type="spellStart"/>
      <w:r w:rsidRPr="0060265E">
        <w:t>Министрлер</w:t>
      </w:r>
      <w:proofErr w:type="spellEnd"/>
      <w:r w:rsidRPr="0060265E">
        <w:t xml:space="preserve"> </w:t>
      </w:r>
      <w:proofErr w:type="spellStart"/>
      <w:r w:rsidRPr="0060265E">
        <w:t>Кабинетинин</w:t>
      </w:r>
      <w:proofErr w:type="spellEnd"/>
      <w:r w:rsidRPr="0060265E">
        <w:t xml:space="preserve"> </w:t>
      </w:r>
      <w:proofErr w:type="spellStart"/>
      <w:r w:rsidRPr="0060265E">
        <w:t>ортосунда</w:t>
      </w:r>
      <w:proofErr w:type="spellEnd"/>
      <w:r w:rsidRPr="0060265E">
        <w:t xml:space="preserve"> </w:t>
      </w:r>
      <w:proofErr w:type="spellStart"/>
      <w:r w:rsidRPr="0060265E">
        <w:t>түзүлгөн</w:t>
      </w:r>
      <w:proofErr w:type="spellEnd"/>
      <w:r w:rsidRPr="0060265E">
        <w:t xml:space="preserve"> Кайра </w:t>
      </w:r>
      <w:proofErr w:type="spellStart"/>
      <w:r w:rsidRPr="0060265E">
        <w:t>каралган</w:t>
      </w:r>
      <w:proofErr w:type="spellEnd"/>
      <w:r w:rsidRPr="0060265E">
        <w:t xml:space="preserve"> Алтын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Күмүштү</w:t>
      </w:r>
      <w:proofErr w:type="spellEnd"/>
      <w:r w:rsidRPr="0060265E">
        <w:t xml:space="preserve"> </w:t>
      </w:r>
      <w:proofErr w:type="spellStart"/>
      <w:r w:rsidRPr="0060265E">
        <w:t>Сатуу</w:t>
      </w:r>
      <w:proofErr w:type="spellEnd"/>
      <w:r w:rsidRPr="0060265E">
        <w:t xml:space="preserve"> </w:t>
      </w:r>
      <w:proofErr w:type="spellStart"/>
      <w:r w:rsidRPr="0060265E">
        <w:t>Келишиминде</w:t>
      </w:r>
      <w:proofErr w:type="spellEnd"/>
      <w:r w:rsidRPr="0060265E">
        <w:t xml:space="preserve"> (ККАКСК) </w:t>
      </w:r>
      <w:proofErr w:type="spellStart"/>
      <w:r w:rsidRPr="0060265E">
        <w:t>каралгандай</w:t>
      </w:r>
      <w:proofErr w:type="spellEnd"/>
      <w:r w:rsidRPr="0060265E">
        <w:t>, Кара-</w:t>
      </w:r>
      <w:proofErr w:type="spellStart"/>
      <w:r w:rsidRPr="0060265E">
        <w:t>Балтадагы</w:t>
      </w:r>
      <w:proofErr w:type="spellEnd"/>
      <w:r w:rsidRPr="0060265E">
        <w:t xml:space="preserve"> </w:t>
      </w:r>
      <w:proofErr w:type="spellStart"/>
      <w:r w:rsidRPr="0060265E">
        <w:t>аффинаждык</w:t>
      </w:r>
      <w:proofErr w:type="spellEnd"/>
      <w:r w:rsidRPr="0060265E">
        <w:t xml:space="preserve"> </w:t>
      </w:r>
      <w:proofErr w:type="spellStart"/>
      <w:r w:rsidRPr="0060265E">
        <w:t>ишканада</w:t>
      </w:r>
      <w:proofErr w:type="spellEnd"/>
      <w:r w:rsidRPr="0060265E">
        <w:t xml:space="preserve"> </w:t>
      </w:r>
      <w:proofErr w:type="spellStart"/>
      <w:r w:rsidRPr="0060265E">
        <w:t>андан</w:t>
      </w:r>
      <w:proofErr w:type="spellEnd"/>
      <w:r w:rsidRPr="0060265E">
        <w:t xml:space="preserve"> ары кайра </w:t>
      </w:r>
      <w:proofErr w:type="spellStart"/>
      <w:r w:rsidRPr="0060265E">
        <w:t>иштетүү</w:t>
      </w:r>
      <w:proofErr w:type="spellEnd"/>
      <w:r w:rsidRPr="0060265E">
        <w:t xml:space="preserve"> </w:t>
      </w:r>
      <w:proofErr w:type="spellStart"/>
      <w:r w:rsidRPr="0060265E">
        <w:t>үчүн</w:t>
      </w:r>
      <w:proofErr w:type="spellEnd"/>
      <w:r w:rsidRPr="0060265E">
        <w:t xml:space="preserve"> "Кыргызалтын" ААК тарабынан </w:t>
      </w:r>
      <w:proofErr w:type="spellStart"/>
      <w:r w:rsidRPr="0060265E">
        <w:t>сатылып</w:t>
      </w:r>
      <w:proofErr w:type="spellEnd"/>
      <w:r w:rsidRPr="0060265E">
        <w:t xml:space="preserve"> </w:t>
      </w:r>
      <w:proofErr w:type="spellStart"/>
      <w:r w:rsidRPr="0060265E">
        <w:t>алынат</w:t>
      </w:r>
      <w:proofErr w:type="spellEnd"/>
      <w:r w:rsidRPr="0060265E">
        <w:t xml:space="preserve">. </w:t>
      </w:r>
      <w:proofErr w:type="spellStart"/>
      <w:r w:rsidR="00D52EC5" w:rsidRPr="0060265E">
        <w:t>ККАКСКнын</w:t>
      </w:r>
      <w:proofErr w:type="spellEnd"/>
      <w:r w:rsidR="00D52EC5" w:rsidRPr="0060265E">
        <w:t xml:space="preserve"> </w:t>
      </w:r>
      <w:proofErr w:type="spellStart"/>
      <w:r w:rsidR="00D52EC5" w:rsidRPr="0060265E">
        <w:t>шарттарына</w:t>
      </w:r>
      <w:proofErr w:type="spellEnd"/>
      <w:r w:rsidR="00D52EC5" w:rsidRPr="0060265E">
        <w:t xml:space="preserve"> </w:t>
      </w:r>
      <w:proofErr w:type="spellStart"/>
      <w:r w:rsidR="00D52EC5" w:rsidRPr="0060265E">
        <w:t>ылайык</w:t>
      </w:r>
      <w:proofErr w:type="spellEnd"/>
      <w:r w:rsidRPr="0060265E">
        <w:t xml:space="preserve">, "Кыргызалтын" ААК </w:t>
      </w:r>
      <w:proofErr w:type="spellStart"/>
      <w:r w:rsidRPr="0060265E">
        <w:t>аффинаждалган</w:t>
      </w:r>
      <w:proofErr w:type="spellEnd"/>
      <w:r w:rsidRPr="0060265E">
        <w:t xml:space="preserve"> алтын менен </w:t>
      </w:r>
      <w:proofErr w:type="spellStart"/>
      <w:r w:rsidRPr="0060265E">
        <w:t>күмүштү</w:t>
      </w:r>
      <w:proofErr w:type="spellEnd"/>
      <w:r w:rsidRPr="0060265E">
        <w:t xml:space="preserve"> Кыргыз </w:t>
      </w:r>
      <w:proofErr w:type="spellStart"/>
      <w:r w:rsidRPr="0060265E">
        <w:t>Республикасынын</w:t>
      </w:r>
      <w:proofErr w:type="spellEnd"/>
      <w:r w:rsidRPr="0060265E">
        <w:t xml:space="preserve"> </w:t>
      </w:r>
      <w:proofErr w:type="spellStart"/>
      <w:r w:rsidRPr="0060265E">
        <w:t>ичинде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</w:t>
      </w:r>
      <w:proofErr w:type="spellStart"/>
      <w:r w:rsidRPr="0060265E">
        <w:t>сыртында</w:t>
      </w:r>
      <w:proofErr w:type="spellEnd"/>
      <w:r w:rsidRPr="0060265E">
        <w:t xml:space="preserve"> </w:t>
      </w:r>
      <w:proofErr w:type="spellStart"/>
      <w:r w:rsidRPr="0060265E">
        <w:t>сатууга</w:t>
      </w:r>
      <w:proofErr w:type="spellEnd"/>
      <w:r w:rsidRPr="0060265E">
        <w:t xml:space="preserve"> </w:t>
      </w:r>
      <w:proofErr w:type="spellStart"/>
      <w:r w:rsidRPr="0060265E">
        <w:t>өзгөчө</w:t>
      </w:r>
      <w:proofErr w:type="spellEnd"/>
      <w:r w:rsidRPr="0060265E">
        <w:t xml:space="preserve"> </w:t>
      </w:r>
      <w:proofErr w:type="spellStart"/>
      <w:r w:rsidRPr="0060265E">
        <w:t>укукка</w:t>
      </w:r>
      <w:proofErr w:type="spellEnd"/>
      <w:r w:rsidRPr="0060265E">
        <w:t xml:space="preserve"> </w:t>
      </w:r>
      <w:proofErr w:type="spellStart"/>
      <w:r w:rsidRPr="0060265E">
        <w:t>ээ</w:t>
      </w:r>
      <w:proofErr w:type="spellEnd"/>
      <w:r w:rsidRPr="0060265E">
        <w:t>.</w:t>
      </w:r>
    </w:p>
    <w:p w14:paraId="60FF49D1" w14:textId="77777777" w:rsidR="00EF422F" w:rsidRPr="0060265E" w:rsidRDefault="00EF422F" w:rsidP="00EF422F">
      <w:pPr>
        <w:spacing w:after="160"/>
        <w:jc w:val="both"/>
      </w:pPr>
    </w:p>
    <w:p w14:paraId="7DB8504C" w14:textId="380C98CF" w:rsidR="00CA5EF7" w:rsidRPr="0060265E" w:rsidRDefault="00EF422F" w:rsidP="00EF422F">
      <w:pPr>
        <w:spacing w:after="160"/>
        <w:jc w:val="both"/>
        <w:rPr>
          <w:spacing w:val="-1"/>
        </w:rPr>
      </w:pPr>
      <w:r w:rsidRPr="0060265E">
        <w:t xml:space="preserve">2025-жылы </w:t>
      </w:r>
      <w:r w:rsidR="00007EAA" w:rsidRPr="0060265E">
        <w:t>КГК</w:t>
      </w:r>
      <w:r w:rsidRPr="0060265E">
        <w:t xml:space="preserve"> 386 616 унция (12 025 кг) алтын </w:t>
      </w:r>
      <w:proofErr w:type="spellStart"/>
      <w:r w:rsidRPr="0060265E">
        <w:t>саткан</w:t>
      </w:r>
      <w:proofErr w:type="spellEnd"/>
      <w:r w:rsidRPr="0060265E">
        <w:t xml:space="preserve">. 2025-жылы </w:t>
      </w:r>
      <w:proofErr w:type="spellStart"/>
      <w:r w:rsidRPr="0060265E">
        <w:t>алтынды</w:t>
      </w:r>
      <w:proofErr w:type="spellEnd"/>
      <w:r w:rsidRPr="0060265E">
        <w:t xml:space="preserve"> </w:t>
      </w:r>
      <w:proofErr w:type="spellStart"/>
      <w:r w:rsidRPr="0060265E">
        <w:t>сатуудан</w:t>
      </w:r>
      <w:proofErr w:type="spellEnd"/>
      <w:r w:rsidRPr="0060265E">
        <w:t xml:space="preserve"> </w:t>
      </w:r>
      <w:proofErr w:type="spellStart"/>
      <w:r w:rsidRPr="0060265E">
        <w:t>түшкөн</w:t>
      </w:r>
      <w:proofErr w:type="spellEnd"/>
      <w:r w:rsidRPr="0060265E">
        <w:t xml:space="preserve"> </w:t>
      </w:r>
      <w:proofErr w:type="spellStart"/>
      <w:r w:rsidRPr="0060265E">
        <w:t>жалпы</w:t>
      </w:r>
      <w:proofErr w:type="spellEnd"/>
      <w:r w:rsidRPr="0060265E">
        <w:t xml:space="preserve"> </w:t>
      </w:r>
      <w:proofErr w:type="spellStart"/>
      <w:r w:rsidRPr="0060265E">
        <w:t>киреше</w:t>
      </w:r>
      <w:proofErr w:type="spellEnd"/>
      <w:r w:rsidRPr="0060265E">
        <w:t xml:space="preserve"> 1 434,6 миллион АКШ </w:t>
      </w:r>
      <w:proofErr w:type="spellStart"/>
      <w:r w:rsidRPr="0060265E">
        <w:t>долларын</w:t>
      </w:r>
      <w:proofErr w:type="spellEnd"/>
      <w:r w:rsidRPr="0060265E">
        <w:t xml:space="preserve"> </w:t>
      </w:r>
      <w:proofErr w:type="spellStart"/>
      <w:r w:rsidRPr="0060265E">
        <w:t>түзгөн</w:t>
      </w:r>
      <w:proofErr w:type="spellEnd"/>
      <w:r w:rsidRPr="0060265E">
        <w:t>.</w:t>
      </w:r>
    </w:p>
    <w:p w14:paraId="22ED6E58" w14:textId="77777777" w:rsidR="00CA5EF7" w:rsidRPr="0060265E" w:rsidRDefault="00CA5EF7" w:rsidP="00CA5EF7">
      <w:pPr>
        <w:rPr>
          <w:rFonts w:cstheme="minorHAnsi"/>
          <w:b/>
          <w:sz w:val="22"/>
          <w:szCs w:val="22"/>
          <w:lang w:eastAsia="en-US"/>
        </w:rPr>
      </w:pPr>
      <w:r w:rsidRPr="0060265E">
        <w:rPr>
          <w:rFonts w:cstheme="minorHAnsi"/>
          <w:b/>
        </w:rPr>
        <w:t xml:space="preserve">Кыргыз </w:t>
      </w:r>
      <w:proofErr w:type="spellStart"/>
      <w:r w:rsidRPr="0060265E">
        <w:rPr>
          <w:rFonts w:cstheme="minorHAnsi"/>
          <w:b/>
        </w:rPr>
        <w:t>Республикасынын</w:t>
      </w:r>
      <w:proofErr w:type="spellEnd"/>
      <w:r w:rsidRPr="0060265E">
        <w:rPr>
          <w:rFonts w:cstheme="minorHAnsi"/>
          <w:b/>
        </w:rPr>
        <w:t xml:space="preserve"> </w:t>
      </w:r>
      <w:proofErr w:type="spellStart"/>
      <w:r w:rsidRPr="0060265E">
        <w:rPr>
          <w:rFonts w:cstheme="minorHAnsi"/>
          <w:b/>
        </w:rPr>
        <w:t>бюджетине</w:t>
      </w:r>
      <w:proofErr w:type="spellEnd"/>
      <w:r w:rsidRPr="0060265E">
        <w:rPr>
          <w:rFonts w:cstheme="minorHAnsi"/>
          <w:b/>
        </w:rPr>
        <w:t xml:space="preserve"> </w:t>
      </w:r>
      <w:proofErr w:type="spellStart"/>
      <w:r w:rsidRPr="0060265E">
        <w:rPr>
          <w:rFonts w:cstheme="minorHAnsi"/>
          <w:b/>
        </w:rPr>
        <w:t>төлөмдөр</w:t>
      </w:r>
      <w:proofErr w:type="spellEnd"/>
      <w:r w:rsidRPr="0060265E">
        <w:rPr>
          <w:rFonts w:cstheme="minorHAnsi"/>
          <w:b/>
        </w:rPr>
        <w:t xml:space="preserve"> </w:t>
      </w:r>
      <w:proofErr w:type="spellStart"/>
      <w:r w:rsidRPr="0060265E">
        <w:rPr>
          <w:rFonts w:cstheme="minorHAnsi"/>
          <w:b/>
        </w:rPr>
        <w:t>жана</w:t>
      </w:r>
      <w:proofErr w:type="spellEnd"/>
      <w:r w:rsidRPr="0060265E">
        <w:rPr>
          <w:rFonts w:cstheme="minorHAnsi"/>
          <w:b/>
        </w:rPr>
        <w:t xml:space="preserve"> </w:t>
      </w:r>
      <w:proofErr w:type="spellStart"/>
      <w:r w:rsidRPr="0060265E">
        <w:rPr>
          <w:rFonts w:cstheme="minorHAnsi"/>
          <w:b/>
        </w:rPr>
        <w:t>милдеттүү</w:t>
      </w:r>
      <w:proofErr w:type="spellEnd"/>
      <w:r w:rsidRPr="0060265E">
        <w:rPr>
          <w:rFonts w:cstheme="minorHAnsi"/>
          <w:b/>
        </w:rPr>
        <w:t xml:space="preserve"> </w:t>
      </w:r>
      <w:proofErr w:type="spellStart"/>
      <w:r w:rsidRPr="0060265E">
        <w:rPr>
          <w:rFonts w:cstheme="minorHAnsi"/>
          <w:b/>
        </w:rPr>
        <w:t>салымдар</w:t>
      </w:r>
      <w:proofErr w:type="spellEnd"/>
      <w:r w:rsidRPr="0060265E">
        <w:rPr>
          <w:rFonts w:cstheme="minorHAnsi"/>
          <w:b/>
        </w:rPr>
        <w:t xml:space="preserve"> </w:t>
      </w:r>
    </w:p>
    <w:p w14:paraId="09AEEDD4" w14:textId="77777777" w:rsidR="00CA5EF7" w:rsidRPr="0060265E" w:rsidRDefault="00CA5EF7" w:rsidP="00CA5EF7">
      <w:pPr>
        <w:rPr>
          <w:rFonts w:cstheme="minorHAnsi"/>
        </w:rPr>
      </w:pPr>
    </w:p>
    <w:p w14:paraId="16E698E9" w14:textId="14CE5F84" w:rsidR="00CA5EF7" w:rsidRPr="0060265E" w:rsidRDefault="00CA5EF7" w:rsidP="00CA5EF7">
      <w:pPr>
        <w:jc w:val="both"/>
      </w:pPr>
      <w:r w:rsidRPr="0060265E">
        <w:t xml:space="preserve">2025-жылга карата Кыргыз </w:t>
      </w:r>
      <w:proofErr w:type="spellStart"/>
      <w:r w:rsidRPr="0060265E">
        <w:t>Республикасынын</w:t>
      </w:r>
      <w:proofErr w:type="spellEnd"/>
      <w:r w:rsidRPr="0060265E">
        <w:t xml:space="preserve"> </w:t>
      </w:r>
      <w:proofErr w:type="spellStart"/>
      <w:r w:rsidRPr="0060265E">
        <w:t>бюджетине</w:t>
      </w:r>
      <w:proofErr w:type="spellEnd"/>
      <w:r w:rsidRPr="0060265E">
        <w:t xml:space="preserve"> </w:t>
      </w:r>
      <w:proofErr w:type="spellStart"/>
      <w:r w:rsidRPr="0060265E">
        <w:t>салык</w:t>
      </w:r>
      <w:proofErr w:type="spellEnd"/>
      <w:r w:rsidRPr="0060265E">
        <w:t xml:space="preserve">, Кыргыз </w:t>
      </w:r>
      <w:proofErr w:type="spellStart"/>
      <w:r w:rsidRPr="0060265E">
        <w:t>Республикасынын</w:t>
      </w:r>
      <w:proofErr w:type="spellEnd"/>
      <w:r w:rsidRPr="0060265E">
        <w:t xml:space="preserve"> </w:t>
      </w:r>
      <w:proofErr w:type="spellStart"/>
      <w:r w:rsidRPr="0060265E">
        <w:t>Социалдык</w:t>
      </w:r>
      <w:proofErr w:type="spellEnd"/>
      <w:r w:rsidRPr="0060265E">
        <w:t xml:space="preserve"> </w:t>
      </w:r>
      <w:proofErr w:type="spellStart"/>
      <w:r w:rsidRPr="0060265E">
        <w:t>Фондуна</w:t>
      </w:r>
      <w:proofErr w:type="spellEnd"/>
      <w:r w:rsidRPr="0060265E">
        <w:t xml:space="preserve"> </w:t>
      </w:r>
      <w:proofErr w:type="spellStart"/>
      <w:r w:rsidRPr="0060265E">
        <w:t>салымдар</w:t>
      </w:r>
      <w:proofErr w:type="spellEnd"/>
      <w:r w:rsidRPr="0060265E">
        <w:t xml:space="preserve"> </w:t>
      </w:r>
      <w:proofErr w:type="spellStart"/>
      <w:r w:rsidRPr="0060265E">
        <w:t>жана</w:t>
      </w:r>
      <w:proofErr w:type="spellEnd"/>
      <w:r w:rsidRPr="0060265E">
        <w:t xml:space="preserve"> 2009-жылдагы Кайра </w:t>
      </w:r>
      <w:proofErr w:type="spellStart"/>
      <w:r w:rsidRPr="0060265E">
        <w:t>каралган</w:t>
      </w:r>
      <w:proofErr w:type="spellEnd"/>
      <w:r w:rsidRPr="0060265E">
        <w:t xml:space="preserve"> </w:t>
      </w:r>
      <w:proofErr w:type="spellStart"/>
      <w:r w:rsidRPr="0060265E">
        <w:t>Инвестициялык</w:t>
      </w:r>
      <w:proofErr w:type="spellEnd"/>
      <w:r w:rsidRPr="0060265E">
        <w:t xml:space="preserve"> </w:t>
      </w:r>
      <w:proofErr w:type="spellStart"/>
      <w:r w:rsidRPr="0060265E">
        <w:t>Келишимде</w:t>
      </w:r>
      <w:proofErr w:type="spellEnd"/>
      <w:r w:rsidRPr="0060265E">
        <w:t xml:space="preserve"> (</w:t>
      </w:r>
      <w:r w:rsidR="00007EAA" w:rsidRPr="0060265E">
        <w:t>ККИК</w:t>
      </w:r>
      <w:r w:rsidRPr="0060265E">
        <w:t xml:space="preserve">) </w:t>
      </w:r>
      <w:proofErr w:type="spellStart"/>
      <w:r w:rsidRPr="0060265E">
        <w:t>каралган</w:t>
      </w:r>
      <w:proofErr w:type="spellEnd"/>
      <w:r w:rsidRPr="0060265E">
        <w:t xml:space="preserve"> башка </w:t>
      </w:r>
      <w:proofErr w:type="spellStart"/>
      <w:r w:rsidRPr="0060265E">
        <w:t>милдеттүү</w:t>
      </w:r>
      <w:proofErr w:type="spellEnd"/>
      <w:r w:rsidRPr="0060265E">
        <w:t xml:space="preserve"> </w:t>
      </w:r>
      <w:proofErr w:type="spellStart"/>
      <w:r w:rsidRPr="0060265E">
        <w:t>төлөмдөр</w:t>
      </w:r>
      <w:proofErr w:type="spellEnd"/>
      <w:r w:rsidRPr="0060265E">
        <w:t xml:space="preserve"> </w:t>
      </w:r>
      <w:proofErr w:type="spellStart"/>
      <w:r w:rsidRPr="0060265E">
        <w:t>түрүндө</w:t>
      </w:r>
      <w:proofErr w:type="spellEnd"/>
      <w:r w:rsidRPr="0060265E">
        <w:t xml:space="preserve"> 246,5 миллион АКШ </w:t>
      </w:r>
      <w:proofErr w:type="spellStart"/>
      <w:r w:rsidRPr="0060265E">
        <w:t>долларын</w:t>
      </w:r>
      <w:proofErr w:type="spellEnd"/>
      <w:r w:rsidRPr="0060265E">
        <w:t xml:space="preserve"> (21,5 миллиард </w:t>
      </w:r>
      <w:r w:rsidR="00007EAA" w:rsidRPr="0060265E">
        <w:t>сом)</w:t>
      </w:r>
      <w:r w:rsidRPr="0060265E">
        <w:t xml:space="preserve"> </w:t>
      </w:r>
      <w:proofErr w:type="spellStart"/>
      <w:r w:rsidRPr="0060265E">
        <w:t>түздү</w:t>
      </w:r>
      <w:proofErr w:type="spellEnd"/>
      <w:r w:rsidRPr="0060265E">
        <w:t>.</w:t>
      </w:r>
    </w:p>
    <w:p w14:paraId="2784F3A5" w14:textId="77777777" w:rsidR="00CA5EF7" w:rsidRPr="0060265E" w:rsidRDefault="00CA5EF7" w:rsidP="00CA5EF7">
      <w:pPr>
        <w:jc w:val="both"/>
        <w:rPr>
          <w:rFonts w:cstheme="minorBidi"/>
          <w:b/>
          <w:bCs/>
        </w:rPr>
      </w:pPr>
    </w:p>
    <w:p w14:paraId="3283C1FB" w14:textId="77777777" w:rsidR="00CA5EF7" w:rsidRPr="0060265E" w:rsidRDefault="00CA5EF7" w:rsidP="00CA5EF7">
      <w:pPr>
        <w:jc w:val="both"/>
        <w:rPr>
          <w:rFonts w:cstheme="minorBidi"/>
          <w:b/>
          <w:bCs/>
        </w:rPr>
      </w:pPr>
    </w:p>
    <w:p w14:paraId="03B58724" w14:textId="081C2615" w:rsidR="00CA5EF7" w:rsidRPr="0060265E" w:rsidRDefault="004F3AE1" w:rsidP="00CA5EF7">
      <w:pPr>
        <w:rPr>
          <w:rFonts w:cstheme="minorBidi"/>
          <w:b/>
          <w:bCs/>
          <w:i/>
          <w:iCs/>
        </w:rPr>
      </w:pPr>
      <w:r w:rsidRPr="0060265E">
        <w:rPr>
          <w:rFonts w:cstheme="minorBidi"/>
          <w:b/>
          <w:bCs/>
          <w:i/>
          <w:iCs/>
        </w:rPr>
        <w:t xml:space="preserve">2025-жыл </w:t>
      </w:r>
      <w:proofErr w:type="spellStart"/>
      <w:r w:rsidRPr="0060265E">
        <w:rPr>
          <w:rFonts w:cstheme="minorBidi"/>
          <w:b/>
          <w:bCs/>
          <w:i/>
          <w:iCs/>
        </w:rPr>
        <w:t>ичи</w:t>
      </w:r>
      <w:proofErr w:type="spellEnd"/>
      <w:r w:rsidRPr="0060265E">
        <w:rPr>
          <w:rFonts w:cstheme="minorBidi"/>
          <w:b/>
          <w:bCs/>
          <w:i/>
          <w:iCs/>
        </w:rPr>
        <w:t xml:space="preserve"> Кумт</w:t>
      </w:r>
      <w:r w:rsidRPr="0060265E">
        <w:rPr>
          <w:rFonts w:cstheme="minorBidi"/>
          <w:b/>
          <w:bCs/>
          <w:i/>
          <w:iCs/>
          <w:lang w:val="ky-KG"/>
        </w:rPr>
        <w:t xml:space="preserve">өрдүн </w:t>
      </w:r>
      <w:proofErr w:type="spellStart"/>
      <w:r w:rsidR="00CA5EF7" w:rsidRPr="0060265E">
        <w:rPr>
          <w:rFonts w:cstheme="minorBidi"/>
          <w:b/>
          <w:bCs/>
          <w:i/>
          <w:iCs/>
        </w:rPr>
        <w:t>салыктар</w:t>
      </w:r>
      <w:proofErr w:type="spellEnd"/>
      <w:r w:rsidR="00CA5EF7" w:rsidRPr="0060265E">
        <w:rPr>
          <w:rFonts w:cstheme="minorBidi"/>
          <w:b/>
          <w:bCs/>
          <w:i/>
          <w:iCs/>
        </w:rPr>
        <w:t xml:space="preserve">, </w:t>
      </w:r>
      <w:proofErr w:type="spellStart"/>
      <w:r w:rsidR="00CA5EF7" w:rsidRPr="0060265E">
        <w:rPr>
          <w:rFonts w:cstheme="minorBidi"/>
          <w:b/>
          <w:bCs/>
          <w:i/>
          <w:iCs/>
        </w:rPr>
        <w:t>фонддорго</w:t>
      </w:r>
      <w:proofErr w:type="spellEnd"/>
      <w:r w:rsidR="00CA5EF7" w:rsidRPr="0060265E">
        <w:rPr>
          <w:rFonts w:cstheme="minorBidi"/>
          <w:b/>
          <w:bCs/>
          <w:i/>
          <w:iCs/>
        </w:rPr>
        <w:t xml:space="preserve"> </w:t>
      </w:r>
      <w:proofErr w:type="spellStart"/>
      <w:r w:rsidR="00CA5EF7" w:rsidRPr="0060265E">
        <w:rPr>
          <w:rFonts w:cstheme="minorBidi"/>
          <w:b/>
          <w:bCs/>
          <w:i/>
          <w:iCs/>
        </w:rPr>
        <w:t>төлөмдөр</w:t>
      </w:r>
      <w:proofErr w:type="spellEnd"/>
      <w:r w:rsidR="00CA5EF7" w:rsidRPr="0060265E">
        <w:rPr>
          <w:rFonts w:cstheme="minorBidi"/>
          <w:b/>
          <w:bCs/>
          <w:i/>
          <w:iCs/>
        </w:rPr>
        <w:t xml:space="preserve"> </w:t>
      </w:r>
      <w:proofErr w:type="spellStart"/>
      <w:r w:rsidR="00CA5EF7" w:rsidRPr="0060265E">
        <w:rPr>
          <w:rFonts w:cstheme="minorBidi"/>
          <w:b/>
          <w:bCs/>
          <w:i/>
          <w:iCs/>
        </w:rPr>
        <w:t>жана</w:t>
      </w:r>
      <w:proofErr w:type="spellEnd"/>
      <w:r w:rsidR="00CA5EF7" w:rsidRPr="0060265E">
        <w:rPr>
          <w:rFonts w:cstheme="minorBidi"/>
          <w:b/>
          <w:bCs/>
          <w:i/>
          <w:iCs/>
        </w:rPr>
        <w:t xml:space="preserve"> </w:t>
      </w:r>
      <w:proofErr w:type="spellStart"/>
      <w:r w:rsidR="00CA5EF7" w:rsidRPr="0060265E">
        <w:rPr>
          <w:rFonts w:cstheme="minorBidi"/>
          <w:b/>
          <w:bCs/>
          <w:i/>
          <w:iCs/>
        </w:rPr>
        <w:t>милдеттүү</w:t>
      </w:r>
      <w:proofErr w:type="spellEnd"/>
      <w:r w:rsidR="00CA5EF7" w:rsidRPr="0060265E">
        <w:rPr>
          <w:rFonts w:cstheme="minorBidi"/>
          <w:b/>
          <w:bCs/>
          <w:i/>
          <w:iCs/>
        </w:rPr>
        <w:t xml:space="preserve"> </w:t>
      </w:r>
      <w:proofErr w:type="spellStart"/>
      <w:r w:rsidR="00CA5EF7" w:rsidRPr="0060265E">
        <w:rPr>
          <w:rFonts w:cstheme="minorBidi"/>
          <w:b/>
          <w:bCs/>
          <w:i/>
          <w:iCs/>
        </w:rPr>
        <w:t>төлөмдөр</w:t>
      </w:r>
      <w:proofErr w:type="spellEnd"/>
      <w:r w:rsidR="00CA5EF7" w:rsidRPr="0060265E">
        <w:rPr>
          <w:rFonts w:cstheme="minorBidi"/>
          <w:b/>
          <w:bCs/>
          <w:i/>
          <w:iCs/>
        </w:rPr>
        <w:t xml:space="preserve"> </w:t>
      </w:r>
      <w:proofErr w:type="spellStart"/>
      <w:r w:rsidR="00CA5EF7" w:rsidRPr="0060265E">
        <w:rPr>
          <w:rFonts w:cstheme="minorBidi"/>
          <w:b/>
          <w:bCs/>
          <w:i/>
          <w:iCs/>
        </w:rPr>
        <w:t>түрүндө</w:t>
      </w:r>
      <w:proofErr w:type="spellEnd"/>
      <w:r w:rsidRPr="0060265E">
        <w:rPr>
          <w:rFonts w:cstheme="minorBidi"/>
          <w:b/>
          <w:bCs/>
          <w:i/>
          <w:iCs/>
          <w:lang w:val="ky-KG"/>
        </w:rPr>
        <w:t xml:space="preserve"> салган салымы</w:t>
      </w:r>
      <w:r w:rsidR="00CA5EF7" w:rsidRPr="0060265E">
        <w:rPr>
          <w:rFonts w:cstheme="minorBidi"/>
          <w:b/>
          <w:bCs/>
          <w:i/>
          <w:iCs/>
        </w:rPr>
        <w:t>.</w:t>
      </w:r>
    </w:p>
    <w:p w14:paraId="660E1218" w14:textId="77777777" w:rsidR="00CA5EF7" w:rsidRPr="0060265E" w:rsidRDefault="00CA5EF7" w:rsidP="00CA5EF7">
      <w:pPr>
        <w:rPr>
          <w:rFonts w:cstheme="minorBidi"/>
          <w:b/>
          <w:bCs/>
          <w:i/>
          <w:iCs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0"/>
        <w:gridCol w:w="1720"/>
        <w:gridCol w:w="2500"/>
      </w:tblGrid>
      <w:tr w:rsidR="00CA5EF7" w:rsidRPr="0060265E" w14:paraId="228972A7" w14:textId="77777777" w:rsidTr="00DE5CBB">
        <w:trPr>
          <w:trHeight w:val="300"/>
        </w:trPr>
        <w:tc>
          <w:tcPr>
            <w:tcW w:w="5560" w:type="dxa"/>
            <w:vAlign w:val="center"/>
            <w:hideMark/>
          </w:tcPr>
          <w:p w14:paraId="44D90E64" w14:textId="621811F9" w:rsidR="00CA5EF7" w:rsidRPr="0060265E" w:rsidRDefault="00CA5EF7" w:rsidP="00DE5C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Салыктар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фонддорго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төлөмдөр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жана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F3AE1" w:rsidRPr="0060265E"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КГКнын </w:t>
            </w:r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башка </w:t>
            </w: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милдеттүү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төлөмдөрү</w:t>
            </w:r>
            <w:proofErr w:type="spellEnd"/>
          </w:p>
        </w:tc>
        <w:tc>
          <w:tcPr>
            <w:tcW w:w="1720" w:type="dxa"/>
            <w:noWrap/>
            <w:vAlign w:val="center"/>
            <w:hideMark/>
          </w:tcPr>
          <w:p w14:paraId="5609ECD7" w14:textId="03CA994B" w:rsidR="00CA5EF7" w:rsidRPr="0060265E" w:rsidRDefault="00CA5EF7" w:rsidP="00DE5CBB">
            <w:pPr>
              <w:jc w:val="center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 w:rsidRPr="0060265E">
              <w:rPr>
                <w:b/>
                <w:bCs/>
                <w:color w:val="000000"/>
                <w:sz w:val="20"/>
                <w:szCs w:val="20"/>
              </w:rPr>
              <w:t>2025-</w:t>
            </w:r>
            <w:r w:rsidR="00F1520E" w:rsidRPr="0060265E">
              <w:rPr>
                <w:b/>
                <w:bCs/>
                <w:color w:val="000000"/>
                <w:sz w:val="20"/>
                <w:szCs w:val="20"/>
                <w:lang w:val="ky-KG"/>
              </w:rPr>
              <w:t>г.</w:t>
            </w:r>
          </w:p>
        </w:tc>
        <w:tc>
          <w:tcPr>
            <w:tcW w:w="2500" w:type="dxa"/>
            <w:noWrap/>
            <w:vAlign w:val="center"/>
          </w:tcPr>
          <w:p w14:paraId="55CFDE21" w14:textId="6A60FAB1" w:rsidR="00CA5EF7" w:rsidRPr="0060265E" w:rsidRDefault="00CA5EF7" w:rsidP="00DE5CBB">
            <w:pPr>
              <w:jc w:val="center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 w:rsidRPr="0060265E">
              <w:rPr>
                <w:b/>
                <w:bCs/>
                <w:color w:val="000000"/>
                <w:sz w:val="20"/>
                <w:szCs w:val="20"/>
              </w:rPr>
              <w:t>2025-</w:t>
            </w:r>
            <w:r w:rsidR="00F1520E" w:rsidRPr="0060265E">
              <w:rPr>
                <w:b/>
                <w:bCs/>
                <w:color w:val="000000"/>
                <w:sz w:val="20"/>
                <w:szCs w:val="20"/>
                <w:lang w:val="ky-KG"/>
              </w:rPr>
              <w:t>г.</w:t>
            </w:r>
          </w:p>
        </w:tc>
      </w:tr>
      <w:tr w:rsidR="00CA5EF7" w:rsidRPr="0060265E" w14:paraId="6CBFC9D5" w14:textId="77777777" w:rsidTr="00DE5CBB">
        <w:trPr>
          <w:trHeight w:val="300"/>
        </w:trPr>
        <w:tc>
          <w:tcPr>
            <w:tcW w:w="5560" w:type="dxa"/>
            <w:noWrap/>
            <w:vAlign w:val="center"/>
          </w:tcPr>
          <w:p w14:paraId="0E004245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center"/>
          </w:tcPr>
          <w:p w14:paraId="3AFAFD20" w14:textId="77777777" w:rsidR="00CA5EF7" w:rsidRPr="0060265E" w:rsidRDefault="00CA5EF7" w:rsidP="00DE5C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миң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 АКШ доллары</w:t>
            </w:r>
          </w:p>
        </w:tc>
        <w:tc>
          <w:tcPr>
            <w:tcW w:w="2500" w:type="dxa"/>
            <w:noWrap/>
            <w:vAlign w:val="center"/>
          </w:tcPr>
          <w:p w14:paraId="49CD86F9" w14:textId="77777777" w:rsidR="00CA5EF7" w:rsidRPr="0060265E" w:rsidRDefault="00CA5EF7" w:rsidP="00DE5C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миң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 сом</w:t>
            </w:r>
          </w:p>
        </w:tc>
      </w:tr>
      <w:tr w:rsidR="00CA5EF7" w:rsidRPr="0060265E" w14:paraId="577E846B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14AEE63E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киреше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салыгы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(13%)</w:t>
            </w:r>
          </w:p>
        </w:tc>
        <w:tc>
          <w:tcPr>
            <w:tcW w:w="1720" w:type="dxa"/>
            <w:noWrap/>
            <w:vAlign w:val="center"/>
            <w:hideMark/>
          </w:tcPr>
          <w:p w14:paraId="14C3A7BA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162 785</w:t>
            </w:r>
          </w:p>
        </w:tc>
        <w:tc>
          <w:tcPr>
            <w:tcW w:w="2500" w:type="dxa"/>
            <w:noWrap/>
            <w:vAlign w:val="center"/>
            <w:hideMark/>
          </w:tcPr>
          <w:p w14:paraId="31063DD3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14 225 161 </w:t>
            </w:r>
          </w:p>
        </w:tc>
      </w:tr>
      <w:tr w:rsidR="00CA5EF7" w:rsidRPr="0060265E" w14:paraId="34A96D65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2BAAE2A0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color w:val="000000"/>
                <w:sz w:val="20"/>
                <w:szCs w:val="20"/>
              </w:rPr>
              <w:t>Минералдык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ресурстар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базасынын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өсүшү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үчүн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жылдык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сумма (4%)</w:t>
            </w:r>
          </w:p>
        </w:tc>
        <w:tc>
          <w:tcPr>
            <w:tcW w:w="1720" w:type="dxa"/>
            <w:noWrap/>
            <w:vAlign w:val="center"/>
            <w:hideMark/>
          </w:tcPr>
          <w:p w14:paraId="55C4E13A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 24 393 </w:t>
            </w:r>
          </w:p>
        </w:tc>
        <w:tc>
          <w:tcPr>
            <w:tcW w:w="2500" w:type="dxa"/>
            <w:noWrap/>
            <w:vAlign w:val="center"/>
            <w:hideMark/>
          </w:tcPr>
          <w:p w14:paraId="7D014462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2 110 133 </w:t>
            </w:r>
          </w:p>
        </w:tc>
      </w:tr>
      <w:tr w:rsidR="00CA5EF7" w:rsidRPr="0060265E" w14:paraId="4A3EAB50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62D69707" w14:textId="0B77D33E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Иссык-К</w:t>
            </w:r>
            <w:r w:rsidR="00F1520E" w:rsidRPr="0060265E">
              <w:rPr>
                <w:color w:val="000000"/>
                <w:sz w:val="20"/>
                <w:szCs w:val="20"/>
                <w:lang w:val="ky-KG"/>
              </w:rPr>
              <w:t xml:space="preserve">өл фонлуна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салым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(1%)</w:t>
            </w:r>
          </w:p>
        </w:tc>
        <w:tc>
          <w:tcPr>
            <w:tcW w:w="1720" w:type="dxa"/>
            <w:noWrap/>
            <w:vAlign w:val="center"/>
            <w:hideMark/>
          </w:tcPr>
          <w:p w14:paraId="5D6CD17D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12 522</w:t>
            </w:r>
          </w:p>
        </w:tc>
        <w:tc>
          <w:tcPr>
            <w:tcW w:w="2500" w:type="dxa"/>
            <w:noWrap/>
            <w:vAlign w:val="center"/>
            <w:hideMark/>
          </w:tcPr>
          <w:p w14:paraId="32ADA278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1 094 243 </w:t>
            </w:r>
          </w:p>
        </w:tc>
      </w:tr>
      <w:tr w:rsidR="00CA5EF7" w:rsidRPr="0060265E" w14:paraId="16E8EC07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613EEE1B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color w:val="000000"/>
                <w:sz w:val="20"/>
                <w:szCs w:val="20"/>
              </w:rPr>
              <w:t>Киреше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салыгы</w:t>
            </w:r>
            <w:proofErr w:type="spellEnd"/>
          </w:p>
        </w:tc>
        <w:tc>
          <w:tcPr>
            <w:tcW w:w="1720" w:type="dxa"/>
            <w:noWrap/>
            <w:vAlign w:val="center"/>
            <w:hideMark/>
          </w:tcPr>
          <w:p w14:paraId="46417E0A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500" w:type="dxa"/>
            <w:noWrap/>
            <w:vAlign w:val="center"/>
            <w:hideMark/>
          </w:tcPr>
          <w:p w14:paraId="598D259D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15 807</w:t>
            </w:r>
          </w:p>
        </w:tc>
      </w:tr>
      <w:tr w:rsidR="00CA5EF7" w:rsidRPr="0060265E" w14:paraId="361E6DDA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00B382EB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color w:val="000000"/>
                <w:sz w:val="20"/>
                <w:szCs w:val="20"/>
              </w:rPr>
              <w:t>Социалдык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камсыздандыруу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салымдары</w:t>
            </w:r>
            <w:proofErr w:type="spellEnd"/>
          </w:p>
        </w:tc>
        <w:tc>
          <w:tcPr>
            <w:tcW w:w="1720" w:type="dxa"/>
            <w:noWrap/>
            <w:vAlign w:val="center"/>
            <w:hideMark/>
          </w:tcPr>
          <w:p w14:paraId="01B21198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28 233</w:t>
            </w:r>
          </w:p>
        </w:tc>
        <w:tc>
          <w:tcPr>
            <w:tcW w:w="2500" w:type="dxa"/>
            <w:noWrap/>
            <w:vAlign w:val="center"/>
            <w:hideMark/>
          </w:tcPr>
          <w:p w14:paraId="2759ABBE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2 468 752 </w:t>
            </w:r>
          </w:p>
        </w:tc>
      </w:tr>
      <w:tr w:rsidR="00CA5EF7" w:rsidRPr="0060265E" w14:paraId="62DAC9B0" w14:textId="77777777" w:rsidTr="00DE5CBB">
        <w:trPr>
          <w:trHeight w:val="530"/>
        </w:trPr>
        <w:tc>
          <w:tcPr>
            <w:tcW w:w="5560" w:type="dxa"/>
            <w:vAlign w:val="center"/>
            <w:hideMark/>
          </w:tcPr>
          <w:p w14:paraId="48691CDF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color w:val="000000"/>
                <w:sz w:val="20"/>
                <w:szCs w:val="20"/>
              </w:rPr>
              <w:t>Салыктар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жана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төлөмдөр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киреше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салыгы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, резидент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эмес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адамдардын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киреше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салыгы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, КНС,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бажы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төлөмдөрү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ж.б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720" w:type="dxa"/>
            <w:noWrap/>
            <w:vAlign w:val="center"/>
            <w:hideMark/>
          </w:tcPr>
          <w:p w14:paraId="038582EA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6 578</w:t>
            </w:r>
          </w:p>
        </w:tc>
        <w:tc>
          <w:tcPr>
            <w:tcW w:w="2500" w:type="dxa"/>
            <w:noWrap/>
            <w:vAlign w:val="center"/>
            <w:hideMark/>
          </w:tcPr>
          <w:p w14:paraId="33FBEDB3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575 114 </w:t>
            </w:r>
          </w:p>
        </w:tc>
      </w:tr>
      <w:tr w:rsidR="00CA5EF7" w:rsidRPr="0060265E" w14:paraId="275712C3" w14:textId="77777777" w:rsidTr="00DE5CBB">
        <w:trPr>
          <w:trHeight w:val="530"/>
        </w:trPr>
        <w:tc>
          <w:tcPr>
            <w:tcW w:w="5560" w:type="dxa"/>
            <w:vAlign w:val="center"/>
            <w:hideMark/>
          </w:tcPr>
          <w:p w14:paraId="7E7840B9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color w:val="000000"/>
                <w:sz w:val="20"/>
                <w:szCs w:val="20"/>
              </w:rPr>
              <w:lastRenderedPageBreak/>
              <w:t>Айлана-чөйрөнү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коргоо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агенттигине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экологиялык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төлөмдөр</w:t>
            </w:r>
            <w:proofErr w:type="spellEnd"/>
          </w:p>
        </w:tc>
        <w:tc>
          <w:tcPr>
            <w:tcW w:w="1720" w:type="dxa"/>
            <w:noWrap/>
            <w:vAlign w:val="center"/>
            <w:hideMark/>
          </w:tcPr>
          <w:p w14:paraId="6657E69A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2500" w:type="dxa"/>
            <w:noWrap/>
            <w:vAlign w:val="center"/>
            <w:hideMark/>
          </w:tcPr>
          <w:p w14:paraId="55368347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26 970</w:t>
            </w:r>
          </w:p>
        </w:tc>
      </w:tr>
      <w:tr w:rsidR="00CA5EF7" w:rsidRPr="0060265E" w14:paraId="37444CBB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52777FC1" w14:textId="6DF8FE4B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Нарын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облусунун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r w:rsidR="00F1520E" w:rsidRPr="0060265E">
              <w:rPr>
                <w:color w:val="000000"/>
                <w:sz w:val="20"/>
                <w:szCs w:val="20"/>
              </w:rPr>
              <w:t>"</w:t>
            </w:r>
            <w:proofErr w:type="spellStart"/>
            <w:r w:rsidR="00F1520E" w:rsidRPr="0060265E">
              <w:rPr>
                <w:color w:val="000000"/>
                <w:sz w:val="20"/>
                <w:szCs w:val="20"/>
              </w:rPr>
              <w:t>Тенир-Тоо</w:t>
            </w:r>
            <w:proofErr w:type="spellEnd"/>
            <w:r w:rsidR="00F1520E" w:rsidRPr="0060265E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өнүктүрүү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фонду (0,6%)</w:t>
            </w:r>
          </w:p>
        </w:tc>
        <w:tc>
          <w:tcPr>
            <w:tcW w:w="1720" w:type="dxa"/>
            <w:noWrap/>
            <w:vAlign w:val="center"/>
            <w:hideMark/>
          </w:tcPr>
          <w:p w14:paraId="4D6D02CD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7 513</w:t>
            </w:r>
          </w:p>
        </w:tc>
        <w:tc>
          <w:tcPr>
            <w:tcW w:w="2500" w:type="dxa"/>
            <w:noWrap/>
            <w:vAlign w:val="center"/>
            <w:hideMark/>
          </w:tcPr>
          <w:p w14:paraId="6A115DB1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656 546 </w:t>
            </w:r>
          </w:p>
        </w:tc>
      </w:tr>
      <w:tr w:rsidR="00CA5EF7" w:rsidRPr="0060265E" w14:paraId="0E76FD5D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52407E52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Кыргыз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Республикасынын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үстүңкү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суу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ресурстарын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пайдалануу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үчүн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төлөм</w:t>
            </w:r>
            <w:proofErr w:type="spellEnd"/>
          </w:p>
        </w:tc>
        <w:tc>
          <w:tcPr>
            <w:tcW w:w="1720" w:type="dxa"/>
            <w:noWrap/>
            <w:vAlign w:val="center"/>
            <w:hideMark/>
          </w:tcPr>
          <w:p w14:paraId="0F3AE835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2 795</w:t>
            </w:r>
          </w:p>
        </w:tc>
        <w:tc>
          <w:tcPr>
            <w:tcW w:w="2500" w:type="dxa"/>
            <w:noWrap/>
            <w:vAlign w:val="center"/>
            <w:hideMark/>
          </w:tcPr>
          <w:p w14:paraId="61EAF99E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244 422</w:t>
            </w:r>
          </w:p>
        </w:tc>
      </w:tr>
      <w:tr w:rsidR="00CA5EF7" w:rsidRPr="0060265E" w14:paraId="10816609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05E29FE5" w14:textId="77777777" w:rsidR="00CA5EF7" w:rsidRPr="0060265E" w:rsidRDefault="00CA5EF7" w:rsidP="00DE5CBB">
            <w:pPr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 xml:space="preserve">Жол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фондуна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65E">
              <w:rPr>
                <w:color w:val="000000"/>
                <w:sz w:val="20"/>
                <w:szCs w:val="20"/>
              </w:rPr>
              <w:t>салым</w:t>
            </w:r>
            <w:proofErr w:type="spellEnd"/>
            <w:r w:rsidRPr="006026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noWrap/>
            <w:vAlign w:val="center"/>
            <w:hideMark/>
          </w:tcPr>
          <w:p w14:paraId="621CD620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1 196</w:t>
            </w:r>
          </w:p>
        </w:tc>
        <w:tc>
          <w:tcPr>
            <w:tcW w:w="2500" w:type="dxa"/>
            <w:noWrap/>
            <w:vAlign w:val="center"/>
            <w:hideMark/>
          </w:tcPr>
          <w:p w14:paraId="074F83D6" w14:textId="77777777" w:rsidR="00CA5EF7" w:rsidRPr="0060265E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60265E">
              <w:rPr>
                <w:color w:val="000000"/>
                <w:sz w:val="20"/>
                <w:szCs w:val="20"/>
              </w:rPr>
              <w:t>104 516</w:t>
            </w:r>
          </w:p>
        </w:tc>
      </w:tr>
      <w:tr w:rsidR="00CA5EF7" w:rsidRPr="0060265E" w14:paraId="6D5955C1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4F343113" w14:textId="77777777" w:rsidR="00CA5EF7" w:rsidRPr="0060265E" w:rsidRDefault="00CA5EF7" w:rsidP="00DE5CB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265E">
              <w:rPr>
                <w:b/>
                <w:bCs/>
                <w:color w:val="000000"/>
                <w:sz w:val="20"/>
                <w:szCs w:val="20"/>
              </w:rPr>
              <w:t>Жалпы</w:t>
            </w:r>
            <w:proofErr w:type="spellEnd"/>
            <w:r w:rsidRPr="0060265E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20" w:type="dxa"/>
            <w:noWrap/>
            <w:vAlign w:val="center"/>
            <w:hideMark/>
          </w:tcPr>
          <w:p w14:paraId="204B7C86" w14:textId="77777777" w:rsidR="00CA5EF7" w:rsidRPr="0060265E" w:rsidRDefault="00CA5EF7" w:rsidP="00DE5C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265E">
              <w:rPr>
                <w:b/>
                <w:bCs/>
                <w:color w:val="000000"/>
                <w:sz w:val="20"/>
                <w:szCs w:val="20"/>
              </w:rPr>
              <w:t>$246 507</w:t>
            </w:r>
          </w:p>
        </w:tc>
        <w:tc>
          <w:tcPr>
            <w:tcW w:w="2500" w:type="dxa"/>
            <w:noWrap/>
            <w:vAlign w:val="center"/>
            <w:hideMark/>
          </w:tcPr>
          <w:p w14:paraId="0AF4D343" w14:textId="77777777" w:rsidR="00CA5EF7" w:rsidRPr="0060265E" w:rsidRDefault="00CA5EF7" w:rsidP="00DE5C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265E">
              <w:rPr>
                <w:b/>
                <w:bCs/>
                <w:color w:val="000000"/>
                <w:sz w:val="20"/>
                <w:szCs w:val="20"/>
              </w:rPr>
              <w:t xml:space="preserve">21 521 664 </w:t>
            </w:r>
          </w:p>
        </w:tc>
      </w:tr>
    </w:tbl>
    <w:p w14:paraId="173BB198" w14:textId="77777777" w:rsidR="00CA5EF7" w:rsidRPr="0060265E" w:rsidRDefault="00CA5EF7" w:rsidP="00CA5EF7">
      <w:pPr>
        <w:spacing w:after="160" w:line="259" w:lineRule="auto"/>
        <w:jc w:val="both"/>
        <w:rPr>
          <w:i/>
          <w:sz w:val="23"/>
          <w:szCs w:val="23"/>
          <w:lang w:val="en-US"/>
        </w:rPr>
      </w:pPr>
    </w:p>
    <w:p w14:paraId="6818DE05" w14:textId="7F784148" w:rsidR="00CA5EF7" w:rsidRPr="0060265E" w:rsidRDefault="00CA5EF7" w:rsidP="00CA5EF7">
      <w:pPr>
        <w:spacing w:after="160" w:line="259" w:lineRule="auto"/>
        <w:jc w:val="both"/>
        <w:rPr>
          <w:sz w:val="18"/>
          <w:szCs w:val="18"/>
          <w:lang w:val="en-US"/>
        </w:rPr>
      </w:pPr>
      <w:r w:rsidRPr="0060265E">
        <w:rPr>
          <w:i/>
          <w:sz w:val="18"/>
          <w:szCs w:val="18"/>
          <w:lang w:val="en-US"/>
        </w:rPr>
        <w:t xml:space="preserve"> </w:t>
      </w:r>
      <w:r w:rsidR="00951747" w:rsidRPr="0060265E">
        <w:rPr>
          <w:i/>
          <w:sz w:val="18"/>
          <w:szCs w:val="18"/>
          <w:lang w:val="en-US"/>
        </w:rPr>
        <w:t xml:space="preserve">(*) 2009-жылдын 24-апрелиндеги "Кумтөр" </w:t>
      </w:r>
      <w:proofErr w:type="spellStart"/>
      <w:r w:rsidR="00951747" w:rsidRPr="0060265E">
        <w:rPr>
          <w:i/>
          <w:sz w:val="18"/>
          <w:szCs w:val="18"/>
          <w:lang w:val="en-US"/>
        </w:rPr>
        <w:t>долбоору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боюнча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жаңы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шарттар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жөнүндө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келишимге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ылайык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, </w:t>
      </w:r>
      <w:proofErr w:type="spellStart"/>
      <w:r w:rsidR="00951747" w:rsidRPr="0060265E">
        <w:rPr>
          <w:i/>
          <w:sz w:val="18"/>
          <w:szCs w:val="18"/>
          <w:lang w:val="en-US"/>
        </w:rPr>
        <w:t>дүң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киреше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салыгын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жана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Ысык-</w:t>
      </w:r>
      <w:proofErr w:type="spellStart"/>
      <w:r w:rsidR="00951747" w:rsidRPr="0060265E">
        <w:rPr>
          <w:i/>
          <w:sz w:val="18"/>
          <w:szCs w:val="18"/>
          <w:lang w:val="en-US"/>
        </w:rPr>
        <w:t>Көл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облусун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өнүктүрүү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фондуна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төгүмдөрдү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эсептөөнүн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негизи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болуп </w:t>
      </w:r>
      <w:proofErr w:type="spellStart"/>
      <w:r w:rsidR="00951747" w:rsidRPr="0060265E">
        <w:rPr>
          <w:i/>
          <w:sz w:val="18"/>
          <w:szCs w:val="18"/>
          <w:lang w:val="en-US"/>
        </w:rPr>
        <w:t>көрсөтүлгөн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мезгил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үчүн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продукцияны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сатуудан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түшкөн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иш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жүзүндөгү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акчалай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</w:t>
      </w:r>
      <w:proofErr w:type="spellStart"/>
      <w:r w:rsidR="00951747" w:rsidRPr="0060265E">
        <w:rPr>
          <w:i/>
          <w:sz w:val="18"/>
          <w:szCs w:val="18"/>
          <w:lang w:val="en-US"/>
        </w:rPr>
        <w:t>түшүүлөр</w:t>
      </w:r>
      <w:proofErr w:type="spellEnd"/>
      <w:r w:rsidR="00951747" w:rsidRPr="0060265E">
        <w:rPr>
          <w:i/>
          <w:sz w:val="18"/>
          <w:szCs w:val="18"/>
          <w:lang w:val="en-US"/>
        </w:rPr>
        <w:t xml:space="preserve"> саналат.</w:t>
      </w:r>
    </w:p>
    <w:p w14:paraId="1D0A62CD" w14:textId="77777777" w:rsidR="00CA5EF7" w:rsidRPr="0060265E" w:rsidRDefault="00CA5EF7" w:rsidP="00CA5EF7">
      <w:pPr>
        <w:spacing w:after="160" w:line="259" w:lineRule="auto"/>
        <w:jc w:val="both"/>
        <w:rPr>
          <w:rFonts w:cstheme="minorBidi"/>
          <w:b/>
          <w:bCs/>
        </w:rPr>
      </w:pPr>
      <w:proofErr w:type="spellStart"/>
      <w:r w:rsidRPr="0060265E">
        <w:rPr>
          <w:rFonts w:cstheme="minorBidi"/>
          <w:b/>
          <w:bCs/>
        </w:rPr>
        <w:t>Дивиденддер</w:t>
      </w:r>
      <w:proofErr w:type="spellEnd"/>
    </w:p>
    <w:p w14:paraId="327D050D" w14:textId="77777777" w:rsidR="00CA5EF7" w:rsidRPr="0060265E" w:rsidRDefault="00CA5EF7" w:rsidP="00CA5EF7">
      <w:pPr>
        <w:jc w:val="both"/>
      </w:pPr>
      <w:r w:rsidRPr="0060265E">
        <w:t xml:space="preserve">2024-жыл </w:t>
      </w:r>
      <w:proofErr w:type="spellStart"/>
      <w:r w:rsidRPr="0060265E">
        <w:t>үчүн</w:t>
      </w:r>
      <w:proofErr w:type="spellEnd"/>
      <w:r w:rsidRPr="0060265E">
        <w:t xml:space="preserve"> 150,0 миллион АКШ доллары </w:t>
      </w:r>
      <w:proofErr w:type="spellStart"/>
      <w:r w:rsidRPr="0060265E">
        <w:t>дивиденддери</w:t>
      </w:r>
      <w:proofErr w:type="spellEnd"/>
      <w:r w:rsidRPr="0060265E">
        <w:t xml:space="preserve"> </w:t>
      </w:r>
      <w:proofErr w:type="spellStart"/>
      <w:r w:rsidRPr="0060265E">
        <w:t>төлөнүп</w:t>
      </w:r>
      <w:proofErr w:type="spellEnd"/>
      <w:r w:rsidRPr="0060265E">
        <w:t xml:space="preserve">, 2025-жылга 300,0 миллион АКШ доллары дивиденд </w:t>
      </w:r>
      <w:proofErr w:type="spellStart"/>
      <w:r w:rsidRPr="0060265E">
        <w:t>жарыяланган</w:t>
      </w:r>
      <w:proofErr w:type="spellEnd"/>
      <w:r w:rsidRPr="0060265E">
        <w:t xml:space="preserve">. </w:t>
      </w:r>
    </w:p>
    <w:p w14:paraId="01378E81" w14:textId="77777777" w:rsidR="00CA5EF7" w:rsidRPr="0060265E" w:rsidRDefault="00CA5EF7" w:rsidP="00CA5EF7">
      <w:pPr>
        <w:spacing w:after="160" w:line="259" w:lineRule="auto"/>
        <w:jc w:val="both"/>
        <w:rPr>
          <w:rFonts w:cstheme="minorBidi"/>
          <w:b/>
          <w:i/>
        </w:rPr>
      </w:pPr>
    </w:p>
    <w:p w14:paraId="4B62A8FA" w14:textId="77777777" w:rsidR="00CA5EF7" w:rsidRPr="0060265E" w:rsidRDefault="00CA5EF7" w:rsidP="00CA5EF7">
      <w:pPr>
        <w:spacing w:after="160" w:line="259" w:lineRule="auto"/>
        <w:jc w:val="both"/>
        <w:rPr>
          <w:b/>
          <w:bCs/>
        </w:rPr>
      </w:pPr>
      <w:r w:rsidRPr="0060265E">
        <w:rPr>
          <w:b/>
          <w:bCs/>
        </w:rPr>
        <w:t>Комментарий</w:t>
      </w:r>
    </w:p>
    <w:p w14:paraId="22F96EEB" w14:textId="07DBD376" w:rsidR="00CA5EF7" w:rsidRPr="0060265E" w:rsidRDefault="00A54DBE" w:rsidP="00CA5EF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0265E">
        <w:rPr>
          <w:rFonts w:ascii="Times New Roman" w:hAnsi="Times New Roman" w:cs="Times New Roman"/>
          <w:sz w:val="24"/>
          <w:szCs w:val="24"/>
        </w:rPr>
        <w:t xml:space="preserve">Кыргыз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жайгашкан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r w:rsidRPr="0060265E">
        <w:rPr>
          <w:rFonts w:ascii="Times New Roman" w:hAnsi="Times New Roman" w:cs="Times New Roman"/>
          <w:b/>
          <w:bCs/>
          <w:sz w:val="24"/>
          <w:szCs w:val="24"/>
        </w:rPr>
        <w:t xml:space="preserve">Кумтөр </w:t>
      </w:r>
      <w:proofErr w:type="spellStart"/>
      <w:r w:rsidRPr="0060265E">
        <w:rPr>
          <w:rFonts w:ascii="Times New Roman" w:hAnsi="Times New Roman" w:cs="Times New Roman"/>
          <w:b/>
          <w:bCs/>
          <w:sz w:val="24"/>
          <w:szCs w:val="24"/>
        </w:rPr>
        <w:t>кени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Борбордук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Азиядагы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эң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ири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кени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болуп саналат. 1997-жылдын май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айында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коммерциялык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өндүрүш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башталгандан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2024-жылдын 31-декабрына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60265E">
        <w:rPr>
          <w:rFonts w:ascii="Times New Roman" w:hAnsi="Times New Roman" w:cs="Times New Roman"/>
          <w:sz w:val="24"/>
          <w:szCs w:val="24"/>
        </w:rPr>
        <w:t xml:space="preserve"> Кумтөр </w:t>
      </w:r>
      <w:proofErr w:type="spellStart"/>
      <w:r w:rsidRPr="0060265E">
        <w:rPr>
          <w:rFonts w:ascii="Times New Roman" w:hAnsi="Times New Roman" w:cs="Times New Roman"/>
          <w:sz w:val="24"/>
          <w:szCs w:val="24"/>
        </w:rPr>
        <w:t>кенинен</w:t>
      </w:r>
      <w:proofErr w:type="spellEnd"/>
      <w:r w:rsidRPr="0060265E">
        <w:rPr>
          <w:rFonts w:ascii="Times New Roman" w:hAnsi="Times New Roman" w:cs="Times New Roman"/>
          <w:b/>
          <w:bCs/>
          <w:sz w:val="24"/>
          <w:szCs w:val="24"/>
        </w:rPr>
        <w:t xml:space="preserve"> 15,4 миллион унция алтын өндүрүлгөн.</w:t>
      </w:r>
      <w:r w:rsidR="00CA5EF7" w:rsidRPr="00602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0E21F" w14:textId="77777777" w:rsidR="00CA5EF7" w:rsidRPr="0060265E" w:rsidRDefault="00CA5EF7" w:rsidP="00CA5EF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468F944E" w14:textId="77777777" w:rsidR="00CA5EF7" w:rsidRPr="0060265E" w:rsidRDefault="00CA5EF7" w:rsidP="00CA5EF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26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D395466" w14:textId="32BC1A9D" w:rsidR="00CA5EF7" w:rsidRPr="0060265E" w:rsidRDefault="00CA5EF7" w:rsidP="00CA5EF7">
      <w:pPr>
        <w:pStyle w:val="NoSpacing"/>
        <w:jc w:val="center"/>
        <w:rPr>
          <w:b/>
          <w:bCs/>
          <w:sz w:val="20"/>
          <w:szCs w:val="20"/>
          <w:lang w:val="ky-KG"/>
        </w:rPr>
      </w:pPr>
      <w:r w:rsidRPr="0060265E">
        <w:rPr>
          <w:b/>
          <w:bCs/>
          <w:sz w:val="20"/>
          <w:szCs w:val="20"/>
        </w:rPr>
        <w:t>К</w:t>
      </w:r>
      <w:r w:rsidR="0011159B" w:rsidRPr="0060265E">
        <w:rPr>
          <w:b/>
          <w:bCs/>
          <w:sz w:val="20"/>
          <w:szCs w:val="20"/>
          <w:lang w:val="ky-KG"/>
        </w:rPr>
        <w:t xml:space="preserve">ошумча </w:t>
      </w:r>
      <w:proofErr w:type="spellStart"/>
      <w:r w:rsidRPr="0060265E">
        <w:rPr>
          <w:b/>
          <w:bCs/>
          <w:sz w:val="20"/>
          <w:szCs w:val="20"/>
        </w:rPr>
        <w:t>маалымат</w:t>
      </w:r>
      <w:proofErr w:type="spellEnd"/>
      <w:r w:rsidRPr="0060265E">
        <w:rPr>
          <w:b/>
          <w:bCs/>
          <w:sz w:val="20"/>
          <w:szCs w:val="20"/>
        </w:rPr>
        <w:t xml:space="preserve"> </w:t>
      </w:r>
      <w:proofErr w:type="spellStart"/>
      <w:r w:rsidRPr="0060265E">
        <w:rPr>
          <w:b/>
          <w:bCs/>
          <w:sz w:val="20"/>
          <w:szCs w:val="20"/>
        </w:rPr>
        <w:t>алуу</w:t>
      </w:r>
      <w:proofErr w:type="spellEnd"/>
      <w:r w:rsidRPr="0060265E">
        <w:rPr>
          <w:b/>
          <w:bCs/>
          <w:sz w:val="20"/>
          <w:szCs w:val="20"/>
        </w:rPr>
        <w:t xml:space="preserve"> </w:t>
      </w:r>
      <w:proofErr w:type="spellStart"/>
      <w:r w:rsidRPr="0060265E">
        <w:rPr>
          <w:b/>
          <w:bCs/>
          <w:sz w:val="20"/>
          <w:szCs w:val="20"/>
        </w:rPr>
        <w:t>үчүн</w:t>
      </w:r>
      <w:proofErr w:type="spellEnd"/>
      <w:r w:rsidRPr="0060265E">
        <w:rPr>
          <w:b/>
          <w:bCs/>
          <w:sz w:val="20"/>
          <w:szCs w:val="20"/>
        </w:rPr>
        <w:t xml:space="preserve"> Медиа </w:t>
      </w:r>
      <w:proofErr w:type="spellStart"/>
      <w:r w:rsidRPr="0060265E">
        <w:rPr>
          <w:b/>
          <w:bCs/>
          <w:sz w:val="20"/>
          <w:szCs w:val="20"/>
        </w:rPr>
        <w:t>байланыш</w:t>
      </w:r>
      <w:proofErr w:type="spellEnd"/>
      <w:r w:rsidRPr="0060265E">
        <w:rPr>
          <w:b/>
          <w:bCs/>
          <w:sz w:val="20"/>
          <w:szCs w:val="20"/>
        </w:rPr>
        <w:t xml:space="preserve"> </w:t>
      </w:r>
      <w:proofErr w:type="spellStart"/>
      <w:r w:rsidRPr="0060265E">
        <w:rPr>
          <w:b/>
          <w:bCs/>
          <w:sz w:val="20"/>
          <w:szCs w:val="20"/>
        </w:rPr>
        <w:t>бөлүмүнө</w:t>
      </w:r>
      <w:proofErr w:type="spellEnd"/>
      <w:r w:rsidRPr="0060265E">
        <w:rPr>
          <w:b/>
          <w:bCs/>
          <w:sz w:val="20"/>
          <w:szCs w:val="20"/>
        </w:rPr>
        <w:t xml:space="preserve"> </w:t>
      </w:r>
      <w:proofErr w:type="spellStart"/>
      <w:r w:rsidRPr="0060265E">
        <w:rPr>
          <w:b/>
          <w:bCs/>
          <w:sz w:val="20"/>
          <w:szCs w:val="20"/>
        </w:rPr>
        <w:t>кайрыл</w:t>
      </w:r>
      <w:proofErr w:type="spellEnd"/>
      <w:r w:rsidR="0011159B" w:rsidRPr="0060265E">
        <w:rPr>
          <w:b/>
          <w:bCs/>
          <w:sz w:val="20"/>
          <w:szCs w:val="20"/>
          <w:lang w:val="ky-KG"/>
        </w:rPr>
        <w:t>ыңыздар</w:t>
      </w:r>
    </w:p>
    <w:p w14:paraId="6B677B48" w14:textId="77777777" w:rsidR="00CA5EF7" w:rsidRPr="0060265E" w:rsidRDefault="00CA5EF7" w:rsidP="00CA5EF7">
      <w:pPr>
        <w:pStyle w:val="NoSpacing"/>
        <w:jc w:val="center"/>
        <w:rPr>
          <w:b/>
          <w:sz w:val="20"/>
          <w:szCs w:val="20"/>
        </w:rPr>
      </w:pPr>
      <w:r w:rsidRPr="0060265E">
        <w:rPr>
          <w:b/>
          <w:sz w:val="20"/>
          <w:szCs w:val="20"/>
        </w:rPr>
        <w:t xml:space="preserve">Тел: (312) 90-07-07; 90-08-08; Факс: (312) 90-07-28 </w:t>
      </w:r>
    </w:p>
    <w:p w14:paraId="7BF17C21" w14:textId="77777777" w:rsidR="00CA5EF7" w:rsidRPr="00FB6571" w:rsidRDefault="00CA5EF7" w:rsidP="00CA5EF7">
      <w:pPr>
        <w:pStyle w:val="NoSpacing"/>
        <w:jc w:val="center"/>
        <w:rPr>
          <w:b/>
          <w:bCs/>
          <w:sz w:val="20"/>
          <w:szCs w:val="20"/>
        </w:rPr>
      </w:pPr>
      <w:r w:rsidRPr="0060265E">
        <w:rPr>
          <w:sz w:val="20"/>
          <w:szCs w:val="20"/>
        </w:rPr>
        <w:t xml:space="preserve">- </w:t>
      </w:r>
      <w:proofErr w:type="spellStart"/>
      <w:r w:rsidRPr="0060265E">
        <w:rPr>
          <w:b/>
          <w:sz w:val="20"/>
          <w:szCs w:val="20"/>
        </w:rPr>
        <w:t>Билдирүүнүн</w:t>
      </w:r>
      <w:proofErr w:type="spellEnd"/>
      <w:r w:rsidRPr="0060265E">
        <w:rPr>
          <w:sz w:val="20"/>
          <w:szCs w:val="20"/>
        </w:rPr>
        <w:t xml:space="preserve"> </w:t>
      </w:r>
      <w:proofErr w:type="spellStart"/>
      <w:r w:rsidRPr="0060265E">
        <w:rPr>
          <w:b/>
          <w:bCs/>
          <w:sz w:val="20"/>
          <w:szCs w:val="20"/>
        </w:rPr>
        <w:t>аягы</w:t>
      </w:r>
      <w:proofErr w:type="spellEnd"/>
      <w:r w:rsidRPr="0060265E">
        <w:rPr>
          <w:sz w:val="20"/>
          <w:szCs w:val="20"/>
        </w:rPr>
        <w:t xml:space="preserve"> -</w:t>
      </w:r>
      <w:r w:rsidRPr="00C47B94">
        <w:rPr>
          <w:sz w:val="20"/>
          <w:szCs w:val="20"/>
        </w:rPr>
        <w:t xml:space="preserve">   </w:t>
      </w:r>
    </w:p>
    <w:p w14:paraId="7A33EB4E" w14:textId="77777777" w:rsidR="00CA5EF7" w:rsidRPr="00B729D6" w:rsidRDefault="00CA5EF7" w:rsidP="00CA5EF7">
      <w:pPr>
        <w:pStyle w:val="NoSpacing"/>
        <w:spacing w:after="120"/>
        <w:jc w:val="both"/>
        <w:rPr>
          <w:color w:val="FF0000"/>
          <w:lang w:val="ky-KG"/>
        </w:rPr>
      </w:pPr>
    </w:p>
    <w:p w14:paraId="6A2D5396" w14:textId="0030470E" w:rsidR="00B67AF2" w:rsidRDefault="00B67AF2"/>
    <w:sectPr w:rsidR="00B67AF2" w:rsidSect="00CA5EF7">
      <w:footerReference w:type="default" r:id="rId7"/>
      <w:pgSz w:w="12240" w:h="15840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7EF5" w14:textId="77777777" w:rsidR="00C732EE" w:rsidRDefault="00C732EE">
      <w:r>
        <w:separator/>
      </w:r>
    </w:p>
  </w:endnote>
  <w:endnote w:type="continuationSeparator" w:id="0">
    <w:p w14:paraId="5DAC8F4E" w14:textId="77777777" w:rsidR="00C732EE" w:rsidRDefault="00C7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886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71024" w14:textId="77777777" w:rsidR="00CA5EF7" w:rsidRDefault="00CA5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2F1D8" w14:textId="77777777" w:rsidR="00CA5EF7" w:rsidRDefault="00CA5E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428B" w14:textId="77777777" w:rsidR="00C732EE" w:rsidRDefault="00C732EE">
      <w:r>
        <w:separator/>
      </w:r>
    </w:p>
  </w:footnote>
  <w:footnote w:type="continuationSeparator" w:id="0">
    <w:p w14:paraId="3078755C" w14:textId="77777777" w:rsidR="00C732EE" w:rsidRDefault="00C7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F7"/>
    <w:rsid w:val="00007EAA"/>
    <w:rsid w:val="00052474"/>
    <w:rsid w:val="0007361F"/>
    <w:rsid w:val="00075B8E"/>
    <w:rsid w:val="000A54A0"/>
    <w:rsid w:val="000F419A"/>
    <w:rsid w:val="0011159B"/>
    <w:rsid w:val="00157BDA"/>
    <w:rsid w:val="00164BFF"/>
    <w:rsid w:val="001B1771"/>
    <w:rsid w:val="001E011C"/>
    <w:rsid w:val="002002BB"/>
    <w:rsid w:val="002C0D6E"/>
    <w:rsid w:val="002F7E07"/>
    <w:rsid w:val="003329A9"/>
    <w:rsid w:val="003653E2"/>
    <w:rsid w:val="003A48C3"/>
    <w:rsid w:val="00496F0B"/>
    <w:rsid w:val="004A500E"/>
    <w:rsid w:val="004F3AE1"/>
    <w:rsid w:val="00503E3C"/>
    <w:rsid w:val="0053018C"/>
    <w:rsid w:val="00580348"/>
    <w:rsid w:val="00583DA7"/>
    <w:rsid w:val="005B2B7C"/>
    <w:rsid w:val="0060265E"/>
    <w:rsid w:val="00633184"/>
    <w:rsid w:val="006B64FB"/>
    <w:rsid w:val="006F362B"/>
    <w:rsid w:val="00700AD6"/>
    <w:rsid w:val="00745E0F"/>
    <w:rsid w:val="007B2C89"/>
    <w:rsid w:val="00860EBA"/>
    <w:rsid w:val="008B50FB"/>
    <w:rsid w:val="00941B95"/>
    <w:rsid w:val="00951747"/>
    <w:rsid w:val="009914A6"/>
    <w:rsid w:val="00A24219"/>
    <w:rsid w:val="00A54DBE"/>
    <w:rsid w:val="00B67AF2"/>
    <w:rsid w:val="00BF07E0"/>
    <w:rsid w:val="00C24D0E"/>
    <w:rsid w:val="00C732EE"/>
    <w:rsid w:val="00C936B7"/>
    <w:rsid w:val="00CA5EF7"/>
    <w:rsid w:val="00D52EC5"/>
    <w:rsid w:val="00DA7551"/>
    <w:rsid w:val="00E32004"/>
    <w:rsid w:val="00E35E18"/>
    <w:rsid w:val="00E44558"/>
    <w:rsid w:val="00EC1B81"/>
    <w:rsid w:val="00EF422F"/>
    <w:rsid w:val="00F1520E"/>
    <w:rsid w:val="00F30AC6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8B8B"/>
  <w15:chartTrackingRefBased/>
  <w15:docId w15:val="{D370229F-6EC3-4915-ADC3-37A682E8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E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E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E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E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E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E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E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E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E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E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E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E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E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A5EF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F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CA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CA5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Preformatted">
    <w:name w:val="HTML Preformatted"/>
    <w:basedOn w:val="Normal"/>
    <w:link w:val="HTMLPreformattedChar"/>
    <w:rsid w:val="00CA5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A5EF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47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47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301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9F36-EC10-408A-BF41-5A3C6574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Bakytbek Mayliev</dc:creator>
  <cp:keywords/>
  <dc:description/>
  <cp:lastModifiedBy>Gulizat Bekmurzaeva</cp:lastModifiedBy>
  <cp:revision>36</cp:revision>
  <dcterms:created xsi:type="dcterms:W3CDTF">2026-05-13T09:11:00Z</dcterms:created>
  <dcterms:modified xsi:type="dcterms:W3CDTF">2026-05-25T07:31:00Z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2026-05-13T09:13:20Z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c3c01579-b7f4-4ca9-8db1-1f7d6a064455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