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474B" w14:textId="5494823A" w:rsidR="00CA5EF7" w:rsidRPr="002B62C4" w:rsidRDefault="00CA5EF7" w:rsidP="00CA5EF7">
      <w:pPr>
        <w:jc w:val="center"/>
        <w:rPr>
          <w:b/>
          <w:bCs/>
          <w:sz w:val="28"/>
          <w:szCs w:val="28"/>
          <w:lang w:val="en-US"/>
        </w:rPr>
      </w:pPr>
      <w:r w:rsidRPr="002B62C4">
        <w:rPr>
          <w:b/>
          <w:bCs/>
          <w:sz w:val="28"/>
          <w:szCs w:val="28"/>
          <w:lang w:val="en-US"/>
        </w:rPr>
        <w:t>Production results for 2025</w:t>
      </w:r>
      <w:r w:rsidRPr="002B62C4">
        <w:rPr>
          <w:b/>
          <w:bCs/>
          <w:sz w:val="28"/>
          <w:szCs w:val="28"/>
          <w:lang w:val="en-US"/>
        </w:rPr>
        <w:tab/>
      </w:r>
    </w:p>
    <w:p w14:paraId="4159E395" w14:textId="77777777" w:rsidR="00CA5EF7" w:rsidRPr="002B62C4" w:rsidRDefault="00CA5EF7" w:rsidP="00CA5EF7">
      <w:pPr>
        <w:ind w:firstLine="720"/>
        <w:jc w:val="both"/>
        <w:rPr>
          <w:lang w:val="en-US"/>
        </w:rPr>
      </w:pPr>
      <w:r w:rsidRPr="002B62C4">
        <w:rPr>
          <w:b/>
          <w:bCs/>
          <w:sz w:val="28"/>
          <w:szCs w:val="28"/>
          <w:lang w:val="en-US"/>
        </w:rPr>
        <w:tab/>
      </w:r>
    </w:p>
    <w:p w14:paraId="307CB514" w14:textId="77777777" w:rsidR="00CA5EF7" w:rsidRPr="002B62C4" w:rsidRDefault="00CA5EF7" w:rsidP="00CA5EF7">
      <w:pPr>
        <w:jc w:val="center"/>
        <w:rPr>
          <w:color w:val="0070C0"/>
          <w:sz w:val="16"/>
          <w:szCs w:val="16"/>
          <w:lang w:val="en-US"/>
        </w:rPr>
      </w:pPr>
    </w:p>
    <w:p w14:paraId="3B3B93F6" w14:textId="554F2186" w:rsidR="00CA5EF7" w:rsidRPr="002B62C4" w:rsidRDefault="00CA5EF7" w:rsidP="00CA5EF7">
      <w:pPr>
        <w:jc w:val="both"/>
        <w:rPr>
          <w:b/>
          <w:bCs/>
          <w:i/>
          <w:iCs/>
          <w:lang w:val="en-US"/>
        </w:rPr>
      </w:pPr>
      <w:r w:rsidRPr="002B62C4">
        <w:rPr>
          <w:b/>
          <w:bCs/>
          <w:i/>
          <w:iCs/>
          <w:lang w:val="en-US"/>
        </w:rPr>
        <w:t xml:space="preserve">Kumtor Gold Company CJSC (hereinafter referred to as "KGC") has summed up the results of its </w:t>
      </w:r>
      <w:r w:rsidR="00FB492C" w:rsidRPr="002B62C4">
        <w:rPr>
          <w:b/>
          <w:bCs/>
          <w:i/>
          <w:iCs/>
          <w:lang w:val="en-US"/>
        </w:rPr>
        <w:t>operations</w:t>
      </w:r>
      <w:r w:rsidRPr="002B62C4">
        <w:rPr>
          <w:b/>
          <w:bCs/>
          <w:i/>
          <w:iCs/>
          <w:lang w:val="en-US"/>
        </w:rPr>
        <w:t xml:space="preserve"> for 2025. The Kumtor mine produced 388,418 ounces, which is 12,081 kg of gold. For 2025, payments to the budget of the Kyrgyz Republic in the form of taxes, contributions to the Social Fund of the Kyrgyz Republic and other mandatory payments provided for by the Revised Investment Agreement (</w:t>
      </w:r>
      <w:r w:rsidR="002F3EF6" w:rsidRPr="002B62C4">
        <w:rPr>
          <w:b/>
          <w:bCs/>
          <w:i/>
          <w:iCs/>
          <w:lang w:val="en-US"/>
        </w:rPr>
        <w:t>RIA</w:t>
      </w:r>
      <w:r w:rsidRPr="002B62C4">
        <w:rPr>
          <w:b/>
          <w:bCs/>
          <w:i/>
          <w:iCs/>
          <w:lang w:val="en-US"/>
        </w:rPr>
        <w:t xml:space="preserve">) amounted to USD 246,507 thousand (21.5 billion </w:t>
      </w:r>
      <w:r w:rsidR="002F3EF6" w:rsidRPr="002B62C4">
        <w:rPr>
          <w:b/>
          <w:bCs/>
          <w:i/>
          <w:iCs/>
          <w:lang w:val="en-US"/>
        </w:rPr>
        <w:t>K</w:t>
      </w:r>
      <w:r w:rsidR="00463633">
        <w:rPr>
          <w:b/>
          <w:bCs/>
          <w:i/>
          <w:iCs/>
          <w:lang w:val="en-US"/>
        </w:rPr>
        <w:t>G</w:t>
      </w:r>
      <w:r w:rsidR="002F3EF6" w:rsidRPr="002B62C4">
        <w:rPr>
          <w:b/>
          <w:bCs/>
          <w:i/>
          <w:iCs/>
          <w:lang w:val="en-US"/>
        </w:rPr>
        <w:t>S</w:t>
      </w:r>
      <w:r w:rsidRPr="002B62C4">
        <w:rPr>
          <w:b/>
          <w:bCs/>
          <w:i/>
          <w:iCs/>
          <w:lang w:val="en-US"/>
        </w:rPr>
        <w:t xml:space="preserve">). </w:t>
      </w:r>
    </w:p>
    <w:p w14:paraId="77A81A15" w14:textId="77777777" w:rsidR="00CA5EF7" w:rsidRPr="002B62C4" w:rsidRDefault="00CA5EF7" w:rsidP="00CA5EF7">
      <w:pPr>
        <w:jc w:val="both"/>
        <w:rPr>
          <w:b/>
          <w:i/>
          <w:lang w:val="en-US"/>
        </w:rPr>
      </w:pPr>
    </w:p>
    <w:p w14:paraId="06FD900B" w14:textId="77777777" w:rsidR="00CA5EF7" w:rsidRPr="002B62C4" w:rsidRDefault="00CA5EF7" w:rsidP="00CA5EF7">
      <w:pPr>
        <w:jc w:val="both"/>
        <w:rPr>
          <w:b/>
          <w:bCs/>
          <w:i/>
          <w:iCs/>
          <w:sz w:val="16"/>
          <w:szCs w:val="16"/>
          <w:lang w:val="en-US"/>
        </w:rPr>
      </w:pPr>
    </w:p>
    <w:p w14:paraId="488BA593" w14:textId="77603CED" w:rsidR="00CA5EF7" w:rsidRPr="002B62C4" w:rsidRDefault="002F3EF6" w:rsidP="00CA5EF7">
      <w:pPr>
        <w:pStyle w:val="Default"/>
        <w:spacing w:after="120"/>
        <w:jc w:val="both"/>
        <w:rPr>
          <w:b/>
          <w:bCs/>
          <w:color w:val="auto"/>
        </w:rPr>
      </w:pPr>
      <w:r w:rsidRPr="002B62C4">
        <w:rPr>
          <w:b/>
          <w:bCs/>
          <w:color w:val="auto"/>
        </w:rPr>
        <w:t xml:space="preserve">Main </w:t>
      </w:r>
      <w:r w:rsidR="00CA5EF7" w:rsidRPr="002B62C4">
        <w:rPr>
          <w:b/>
          <w:bCs/>
          <w:color w:val="auto"/>
        </w:rPr>
        <w:t>events of 2025 in the activities of KGC</w:t>
      </w:r>
    </w:p>
    <w:p w14:paraId="305BDF5B" w14:textId="77777777" w:rsidR="00CA5EF7" w:rsidRPr="002B62C4" w:rsidRDefault="00CA5EF7" w:rsidP="00CA5EF7">
      <w:pPr>
        <w:widowControl w:val="0"/>
        <w:spacing w:before="240"/>
        <w:ind w:firstLine="720"/>
        <w:jc w:val="both"/>
        <w:rPr>
          <w:iCs/>
          <w:lang w:val="en-US"/>
        </w:rPr>
      </w:pPr>
      <w:r w:rsidRPr="002B62C4">
        <w:rPr>
          <w:lang w:val="en-US"/>
        </w:rPr>
        <w:t>On April 24</w:t>
      </w:r>
      <w:r w:rsidRPr="002B62C4">
        <w:rPr>
          <w:iCs/>
          <w:lang w:val="en-US"/>
        </w:rPr>
        <w:t>, 2025, the third Annual General Meeting of Shareholders was held since the transfer of 100% of KGC shares to Kyrgyzaltyn OJSC, which approved the budget, KGC's work plan for 2025 and decided to distribute dividends in the amount of USD 150,000,000 in favor of the Kyrgyz Republic. Ernst &amp; Young Audit LLC was also approved as an independent auditor of the company for 2025.</w:t>
      </w:r>
    </w:p>
    <w:p w14:paraId="4F946F90" w14:textId="0019CBF4" w:rsidR="00CA5EF7" w:rsidRPr="002B62C4" w:rsidRDefault="00CA5EF7" w:rsidP="00CA5EF7">
      <w:pPr>
        <w:jc w:val="both"/>
        <w:rPr>
          <w:lang w:val="en-US"/>
        </w:rPr>
      </w:pPr>
      <w:r w:rsidRPr="002B62C4">
        <w:rPr>
          <w:iCs/>
          <w:lang w:val="en-US"/>
        </w:rPr>
        <w:tab/>
      </w:r>
      <w:r w:rsidRPr="002B62C4">
        <w:rPr>
          <w:lang w:val="en-US"/>
        </w:rPr>
        <w:t xml:space="preserve">As part of the reassessment of the reserves of the Kumtor deposit </w:t>
      </w:r>
      <w:r w:rsidR="00A24219" w:rsidRPr="002B62C4">
        <w:rPr>
          <w:lang w:val="en-US"/>
        </w:rPr>
        <w:t>work has begun with the involvement of the design organization PIC "Ken-Too"</w:t>
      </w:r>
      <w:r w:rsidRPr="002B62C4">
        <w:rPr>
          <w:lang w:val="en-US"/>
        </w:rPr>
        <w:t xml:space="preserve"> for the implementation of: "Geological Report on the Results of Geological Exploration in 2020–2025 with Calculation of Conditions and Reserves for Open-pit Development of the Kumtor </w:t>
      </w:r>
      <w:r w:rsidR="001F64FC" w:rsidRPr="002B62C4">
        <w:rPr>
          <w:lang w:val="en-US"/>
        </w:rPr>
        <w:t>Mine</w:t>
      </w:r>
      <w:r w:rsidRPr="002B62C4">
        <w:rPr>
          <w:lang w:val="en-US"/>
        </w:rPr>
        <w:t xml:space="preserve"> at the </w:t>
      </w:r>
      <w:r w:rsidR="00CF2C5F" w:rsidRPr="002B62C4">
        <w:rPr>
          <w:lang w:val="en-US"/>
        </w:rPr>
        <w:t>Central</w:t>
      </w:r>
      <w:r w:rsidR="001F64FC" w:rsidRPr="002B62C4">
        <w:rPr>
          <w:lang w:val="en-US"/>
        </w:rPr>
        <w:t xml:space="preserve"> Pit</w:t>
      </w:r>
      <w:r w:rsidR="00CF2C5F" w:rsidRPr="002B62C4">
        <w:rPr>
          <w:lang w:val="en-US"/>
        </w:rPr>
        <w:t xml:space="preserve"> </w:t>
      </w:r>
      <w:r w:rsidRPr="002B62C4">
        <w:rPr>
          <w:lang w:val="en-US"/>
        </w:rPr>
        <w:t xml:space="preserve">as of 01.01.2026". </w:t>
      </w:r>
      <w:r w:rsidR="00A24219" w:rsidRPr="002B62C4">
        <w:rPr>
          <w:lang w:val="en-US"/>
        </w:rPr>
        <w:t>As part of the report, calculations of industrial conditions, including cut-off gold grades, will be made.</w:t>
      </w:r>
    </w:p>
    <w:p w14:paraId="0C88C86C" w14:textId="5B7F66BA" w:rsidR="00CA5EF7" w:rsidRPr="002B62C4" w:rsidRDefault="00CA5EF7" w:rsidP="00CA5EF7">
      <w:pPr>
        <w:ind w:firstLine="720"/>
        <w:jc w:val="both"/>
        <w:rPr>
          <w:lang w:val="en-US"/>
        </w:rPr>
      </w:pPr>
      <w:r w:rsidRPr="002B62C4">
        <w:rPr>
          <w:lang w:val="en-US"/>
        </w:rPr>
        <w:t>Kumtor Gold Company is working on the analysis of seismic impact from explosions on the open pit</w:t>
      </w:r>
      <w:r w:rsidR="00F501B1" w:rsidRPr="002B62C4">
        <w:rPr>
          <w:lang w:val="en-US"/>
        </w:rPr>
        <w:t xml:space="preserve"> walls</w:t>
      </w:r>
      <w:r w:rsidRPr="002B62C4">
        <w:rPr>
          <w:lang w:val="en-US"/>
        </w:rPr>
        <w:t xml:space="preserve"> with one of the leading foreign companies in the field of geomechanics Mining One, in order to maintain stability and reduce the negative impact of explosions on the open pit</w:t>
      </w:r>
      <w:r w:rsidR="00F501B1" w:rsidRPr="002B62C4">
        <w:rPr>
          <w:lang w:val="en-US"/>
        </w:rPr>
        <w:t xml:space="preserve"> walls</w:t>
      </w:r>
      <w:r w:rsidRPr="002B62C4">
        <w:rPr>
          <w:lang w:val="en-US"/>
        </w:rPr>
        <w:t>.</w:t>
      </w:r>
    </w:p>
    <w:p w14:paraId="767D9A4B" w14:textId="77777777" w:rsidR="00CA5EF7" w:rsidRPr="002B62C4" w:rsidRDefault="00CA5EF7" w:rsidP="00CA5EF7">
      <w:pPr>
        <w:ind w:firstLine="720"/>
        <w:jc w:val="both"/>
        <w:rPr>
          <w:lang w:val="en-US"/>
        </w:rPr>
      </w:pPr>
      <w:r w:rsidRPr="002B62C4">
        <w:rPr>
          <w:lang w:val="en-US"/>
        </w:rPr>
        <w:t xml:space="preserve">Work is underway with the foreign consulting company Global Geological Services Limited (GGSL) for structural mapping and updating of the geological and structural model of the mine. </w:t>
      </w:r>
    </w:p>
    <w:p w14:paraId="32CEDD2E" w14:textId="13D9185C" w:rsidR="00CA5EF7" w:rsidRPr="002B62C4" w:rsidRDefault="00CA5EF7" w:rsidP="00CA5EF7">
      <w:pPr>
        <w:ind w:firstLine="720"/>
        <w:jc w:val="both"/>
        <w:rPr>
          <w:lang w:val="en-US"/>
        </w:rPr>
      </w:pPr>
      <w:r w:rsidRPr="002B62C4">
        <w:rPr>
          <w:lang w:val="en-US"/>
        </w:rPr>
        <w:t>The life</w:t>
      </w:r>
      <w:r w:rsidR="00C141D7" w:rsidRPr="002B62C4">
        <w:rPr>
          <w:lang w:val="en-US"/>
        </w:rPr>
        <w:t xml:space="preserve"> of mine e</w:t>
      </w:r>
      <w:r w:rsidRPr="002B62C4">
        <w:rPr>
          <w:lang w:val="en-US"/>
        </w:rPr>
        <w:t>xtension is carried out as part of a technical project aimed at optimizing production processes and expanding working areas, which ensures the sustainable development and expansion of the resource base of the Kumtor mine.</w:t>
      </w:r>
    </w:p>
    <w:p w14:paraId="609D97D1" w14:textId="6A4AAC86" w:rsidR="00CA5EF7" w:rsidRPr="002B62C4" w:rsidRDefault="00CA5EF7" w:rsidP="00CA5EF7">
      <w:pPr>
        <w:ind w:firstLine="720"/>
        <w:jc w:val="both"/>
        <w:rPr>
          <w:lang w:val="en-US"/>
        </w:rPr>
      </w:pPr>
      <w:r w:rsidRPr="002B62C4">
        <w:rPr>
          <w:lang w:val="en-US"/>
        </w:rPr>
        <w:t xml:space="preserve">The </w:t>
      </w:r>
      <w:r w:rsidR="00C141D7" w:rsidRPr="002B62C4">
        <w:rPr>
          <w:lang w:val="en-US"/>
        </w:rPr>
        <w:t xml:space="preserve">South-Western Pit </w:t>
      </w:r>
      <w:r w:rsidRPr="002B62C4">
        <w:rPr>
          <w:lang w:val="en-US"/>
        </w:rPr>
        <w:t xml:space="preserve">was </w:t>
      </w:r>
      <w:r w:rsidR="00C141D7" w:rsidRPr="002B62C4">
        <w:rPr>
          <w:lang w:val="en-US"/>
        </w:rPr>
        <w:t xml:space="preserve">operated </w:t>
      </w:r>
      <w:r w:rsidRPr="002B62C4">
        <w:rPr>
          <w:lang w:val="en-US"/>
        </w:rPr>
        <w:t xml:space="preserve">safely and ahead of schedule. During the period of intensive inflow of melt water from the Sarytor glacier, the design drainage system ensured the stability of the </w:t>
      </w:r>
      <w:r w:rsidR="00C141D7" w:rsidRPr="002B62C4">
        <w:rPr>
          <w:lang w:val="en-US"/>
        </w:rPr>
        <w:t>wall</w:t>
      </w:r>
      <w:r w:rsidRPr="002B62C4">
        <w:rPr>
          <w:lang w:val="en-US"/>
        </w:rPr>
        <w:t>s, the safety of transport horizons and uninterrupted mining operations.</w:t>
      </w:r>
    </w:p>
    <w:p w14:paraId="18D60472" w14:textId="3BA2A279" w:rsidR="00CA5EF7" w:rsidRPr="002B62C4" w:rsidRDefault="00CA5EF7" w:rsidP="00CA5EF7">
      <w:pPr>
        <w:ind w:firstLine="720"/>
        <w:jc w:val="both"/>
        <w:rPr>
          <w:lang w:val="en-US"/>
        </w:rPr>
      </w:pPr>
      <w:r w:rsidRPr="002B62C4">
        <w:rPr>
          <w:lang w:val="en-US"/>
        </w:rPr>
        <w:t xml:space="preserve">Work is nearing completion on the implementation of a fuel accounting automation system at the Kumtor mine and at the Balykchy </w:t>
      </w:r>
      <w:r w:rsidR="00683814" w:rsidRPr="002B62C4">
        <w:rPr>
          <w:lang w:val="en-US"/>
        </w:rPr>
        <w:t>Marshalling Yard</w:t>
      </w:r>
      <w:r w:rsidRPr="002B62C4">
        <w:rPr>
          <w:lang w:val="en-US"/>
        </w:rPr>
        <w:t>. Within the framework of the project, electronic meters of fuel receipt, consumption and movement were installed, devices for displaying the current level in tanks in real time, as well as software for centralized electronic accounting were introduced. This will improve the accuracy of resource management, reduce costs and minimize the impact of the human factor.</w:t>
      </w:r>
    </w:p>
    <w:p w14:paraId="657542E2" w14:textId="0B2205C9" w:rsidR="00CA5EF7" w:rsidRPr="002B62C4" w:rsidRDefault="00CA5EF7" w:rsidP="00CA5EF7">
      <w:pPr>
        <w:ind w:firstLine="720"/>
        <w:jc w:val="both"/>
        <w:rPr>
          <w:lang w:val="en-US"/>
        </w:rPr>
      </w:pPr>
      <w:r w:rsidRPr="002B62C4">
        <w:rPr>
          <w:lang w:val="en-US"/>
        </w:rPr>
        <w:t xml:space="preserve">On the part of the </w:t>
      </w:r>
      <w:r w:rsidR="00683814" w:rsidRPr="002B62C4">
        <w:rPr>
          <w:lang w:val="en-US"/>
        </w:rPr>
        <w:t>Maintenance Department,</w:t>
      </w:r>
      <w:r w:rsidRPr="002B62C4">
        <w:rPr>
          <w:lang w:val="en-US"/>
        </w:rPr>
        <w:t xml:space="preserve"> consolidation and preparation for the transfer of used oil to the </w:t>
      </w:r>
      <w:r w:rsidR="00683814" w:rsidRPr="002B62C4">
        <w:rPr>
          <w:lang w:val="en-US"/>
        </w:rPr>
        <w:t xml:space="preserve">Drill &amp; Blast </w:t>
      </w:r>
      <w:r w:rsidRPr="002B62C4">
        <w:rPr>
          <w:lang w:val="en-US"/>
        </w:rPr>
        <w:t>department for further industrial use as part of explosives has begun, which will make it possible to replace part of the diesel fuel during their preparation and increase the efficiency of the process.</w:t>
      </w:r>
    </w:p>
    <w:p w14:paraId="64F2C724" w14:textId="77777777" w:rsidR="00CA5EF7" w:rsidRPr="002B62C4" w:rsidRDefault="00CA5EF7" w:rsidP="00CA5EF7">
      <w:pPr>
        <w:ind w:firstLine="720"/>
        <w:jc w:val="both"/>
        <w:rPr>
          <w:lang w:val="en-US"/>
        </w:rPr>
      </w:pPr>
      <w:r w:rsidRPr="002B62C4">
        <w:rPr>
          <w:lang w:val="en-US"/>
        </w:rPr>
        <w:t>In 2025, as part of the planned fleet renewal program, a complex of new mining, auxiliary and service equipment was put into operation, including drilling rigs, quarry equipment, special equipment, generators and equipment for repair services. The update is aimed at maintaining the target indicators of technical readiness, improving the reliability and efficiency of production processes.</w:t>
      </w:r>
    </w:p>
    <w:p w14:paraId="50CE9C46" w14:textId="28E8462F" w:rsidR="00CA5EF7" w:rsidRPr="002B62C4" w:rsidRDefault="00CA5EF7" w:rsidP="00CA5EF7">
      <w:pPr>
        <w:ind w:firstLine="720"/>
        <w:jc w:val="both"/>
        <w:rPr>
          <w:lang w:val="en-US"/>
        </w:rPr>
      </w:pPr>
      <w:r w:rsidRPr="002B62C4">
        <w:rPr>
          <w:lang w:val="en-US"/>
        </w:rPr>
        <w:t>During 2025, the Underground Department made significant progress in the implementation of the underground project. For the Saddle (SD) and Stockwerk (SW) deposits</w:t>
      </w:r>
      <w:r w:rsidRPr="002B62C4">
        <w:rPr>
          <w:b/>
          <w:bCs/>
          <w:lang w:val="en-US"/>
        </w:rPr>
        <w:t>, Mining One</w:t>
      </w:r>
      <w:r w:rsidRPr="002B62C4">
        <w:rPr>
          <w:lang w:val="en-US"/>
        </w:rPr>
        <w:t xml:space="preserve"> completed the preparation of a feasibility study, confirming the technical and economic viability of the development of the </w:t>
      </w:r>
      <w:r w:rsidR="00683814" w:rsidRPr="002B62C4">
        <w:rPr>
          <w:lang w:val="en-US"/>
        </w:rPr>
        <w:t>zones</w:t>
      </w:r>
      <w:r w:rsidRPr="002B62C4">
        <w:rPr>
          <w:lang w:val="en-US"/>
        </w:rPr>
        <w:t>.</w:t>
      </w:r>
    </w:p>
    <w:p w14:paraId="214E0E5C" w14:textId="77777777" w:rsidR="00CA5EF7" w:rsidRPr="002B62C4" w:rsidRDefault="00CA5EF7" w:rsidP="00CA5EF7">
      <w:pPr>
        <w:ind w:firstLine="720"/>
        <w:jc w:val="both"/>
        <w:rPr>
          <w:lang w:val="en-US"/>
        </w:rPr>
      </w:pPr>
      <w:r w:rsidRPr="002B62C4">
        <w:rPr>
          <w:lang w:val="en-US"/>
        </w:rPr>
        <w:lastRenderedPageBreak/>
        <w:t>Production indicators also achieved significant results: 1,902 linear meters were tunneled, and 460 meters in 2024. The Scoping Study for the Deep Oxidized (DOX) and Southern Blow (SB) deposits was completed, confirming the prospects for further development and allowing us to proceed to the stage of concluding a contract for the feasibility study. Among the technical achievements are the commissioning of heating units and the launch of the only cable fastening unit in Kyrgyzstan, which increased the level of industrial safety and technological capabilities. In addition, a contract was signed for the supply of four new self-propelled drilling rigs for the modernization of the equipment fleet. A feasibility study has been completed for the Saddle (SD) and Stockwork (SW) deposits, and work has begun on the formation of the Technical Development Project.</w:t>
      </w:r>
    </w:p>
    <w:p w14:paraId="453E91F5" w14:textId="095600F2" w:rsidR="00CA5EF7" w:rsidRPr="002B62C4" w:rsidRDefault="00CA5EF7" w:rsidP="00CA5EF7">
      <w:pPr>
        <w:widowControl w:val="0"/>
        <w:ind w:firstLine="720"/>
        <w:jc w:val="both"/>
        <w:rPr>
          <w:lang w:val="en-US"/>
        </w:rPr>
      </w:pPr>
      <w:r w:rsidRPr="002B62C4">
        <w:rPr>
          <w:lang w:val="en-US"/>
        </w:rPr>
        <w:t xml:space="preserve">In accordance with the order of the Cabinet of Ministers of the Kyrgyz Republic, changes were made to the contours of the Togolok and Dzhangart license areas. Based on these changes, new license agreements </w:t>
      </w:r>
      <w:r w:rsidR="00D627DA" w:rsidRPr="002B62C4">
        <w:rPr>
          <w:lang w:val="en-US"/>
        </w:rPr>
        <w:t>#</w:t>
      </w:r>
      <w:r w:rsidRPr="002B62C4">
        <w:rPr>
          <w:lang w:val="en-US"/>
        </w:rPr>
        <w:t xml:space="preserve">3 and </w:t>
      </w:r>
      <w:r w:rsidR="00D627DA" w:rsidRPr="002B62C4">
        <w:rPr>
          <w:lang w:val="en-US"/>
        </w:rPr>
        <w:t>#</w:t>
      </w:r>
      <w:r w:rsidRPr="002B62C4">
        <w:rPr>
          <w:lang w:val="en-US"/>
        </w:rPr>
        <w:t>4 for development and exploration were issued.</w:t>
      </w:r>
    </w:p>
    <w:p w14:paraId="1600560A" w14:textId="23158264" w:rsidR="00CA5EF7" w:rsidRPr="002B62C4" w:rsidRDefault="00CA5EF7" w:rsidP="00CA5EF7">
      <w:pPr>
        <w:widowControl w:val="0"/>
        <w:ind w:firstLine="720"/>
        <w:jc w:val="both"/>
        <w:rPr>
          <w:lang w:val="en-US"/>
        </w:rPr>
      </w:pPr>
      <w:r w:rsidRPr="002B62C4">
        <w:rPr>
          <w:lang w:val="en-US"/>
        </w:rPr>
        <w:t>Based on the order of the Cabinet of Ministers of the Kyrgyz Republic, permission was obtained for KGC and KO</w:t>
      </w:r>
      <w:r w:rsidR="00720900" w:rsidRPr="002B62C4">
        <w:rPr>
          <w:lang w:val="en-US"/>
        </w:rPr>
        <w:t>C</w:t>
      </w:r>
      <w:r w:rsidRPr="002B62C4">
        <w:rPr>
          <w:lang w:val="en-US"/>
        </w:rPr>
        <w:t xml:space="preserve"> to combine the design and construction processes of facilities at the Kumtor, Karasai-Koendinskaya, Dzhangartskaya, Togolok deposits, as well as in the cities of Balykchi and </w:t>
      </w:r>
      <w:r w:rsidRPr="002B62C4">
        <w:rPr>
          <w:iCs/>
          <w:lang w:val="en-US"/>
        </w:rPr>
        <w:t>Tokmok</w:t>
      </w:r>
      <w:r w:rsidRPr="002B62C4">
        <w:rPr>
          <w:lang w:val="en-US"/>
        </w:rPr>
        <w:t>.</w:t>
      </w:r>
    </w:p>
    <w:p w14:paraId="25F180D8" w14:textId="77777777" w:rsidR="00CA5EF7" w:rsidRPr="002B62C4" w:rsidRDefault="00CA5EF7" w:rsidP="00CA5EF7">
      <w:pPr>
        <w:widowControl w:val="0"/>
        <w:ind w:firstLine="720"/>
        <w:jc w:val="both"/>
        <w:rPr>
          <w:lang w:val="en-US"/>
        </w:rPr>
      </w:pPr>
      <w:r w:rsidRPr="002B62C4">
        <w:rPr>
          <w:lang w:val="en-US"/>
        </w:rPr>
        <w:t>A reinsurance certificate was obtained in the international market, which provides coverage of 98% of the risks under the current insurance contract for the property complex of KGC against all risks.</w:t>
      </w:r>
    </w:p>
    <w:p w14:paraId="3CE8B5B0" w14:textId="77777777" w:rsidR="00CA5EF7" w:rsidRPr="002B62C4" w:rsidRDefault="00CA5EF7" w:rsidP="00CA5EF7">
      <w:pPr>
        <w:widowControl w:val="0"/>
        <w:spacing w:before="120" w:after="120"/>
        <w:ind w:firstLine="720"/>
        <w:jc w:val="both"/>
        <w:rPr>
          <w:lang w:val="en-US"/>
        </w:rPr>
      </w:pPr>
    </w:p>
    <w:p w14:paraId="468EE4E6" w14:textId="77777777" w:rsidR="00CA5EF7" w:rsidRPr="002B62C4" w:rsidRDefault="00CA5EF7" w:rsidP="00CA5EF7">
      <w:pPr>
        <w:pStyle w:val="ListParagraph"/>
        <w:spacing w:after="120" w:line="252" w:lineRule="auto"/>
        <w:ind w:left="0"/>
        <w:jc w:val="both"/>
        <w:rPr>
          <w:rFonts w:ascii="Times New Roman" w:eastAsia="Times New Roman" w:hAnsi="Times New Roman" w:cs="Times New Roman"/>
          <w:b/>
          <w:bCs/>
          <w:sz w:val="24"/>
          <w:szCs w:val="24"/>
          <w:lang w:val="en-US"/>
        </w:rPr>
      </w:pPr>
      <w:r w:rsidRPr="002B62C4">
        <w:rPr>
          <w:rFonts w:ascii="Times New Roman" w:eastAsia="Times New Roman" w:hAnsi="Times New Roman" w:cs="Times New Roman"/>
          <w:b/>
          <w:sz w:val="24"/>
          <w:szCs w:val="24"/>
          <w:lang w:val="en-US"/>
        </w:rPr>
        <w:t>Key production and financial results of KGC</w:t>
      </w:r>
    </w:p>
    <w:p w14:paraId="72F01BBA" w14:textId="77777777" w:rsidR="00CA5EF7" w:rsidRPr="002B62C4" w:rsidRDefault="00CA5EF7" w:rsidP="00CA5EF7">
      <w:pPr>
        <w:pStyle w:val="ListParagraph"/>
        <w:spacing w:after="120" w:line="252" w:lineRule="auto"/>
        <w:ind w:left="0"/>
        <w:jc w:val="both"/>
        <w:rPr>
          <w:rFonts w:ascii="Times New Roman" w:eastAsia="Times New Roman" w:hAnsi="Times New Roman" w:cs="Times New Roman"/>
          <w:b/>
          <w:bCs/>
          <w:sz w:val="24"/>
          <w:szCs w:val="24"/>
          <w:lang w:val="en-US"/>
        </w:rPr>
      </w:pPr>
    </w:p>
    <w:tbl>
      <w:tblPr>
        <w:tblW w:w="9723" w:type="dxa"/>
        <w:tblLayout w:type="fixed"/>
        <w:tblLook w:val="04A0" w:firstRow="1" w:lastRow="0" w:firstColumn="1" w:lastColumn="0" w:noHBand="0" w:noVBand="1"/>
      </w:tblPr>
      <w:tblGrid>
        <w:gridCol w:w="7223"/>
        <w:gridCol w:w="1232"/>
        <w:gridCol w:w="1268"/>
      </w:tblGrid>
      <w:tr w:rsidR="00CA5EF7" w:rsidRPr="002B62C4" w14:paraId="03C86AD6" w14:textId="77777777" w:rsidTr="00DE5CBB">
        <w:trPr>
          <w:trHeight w:val="737"/>
        </w:trPr>
        <w:tc>
          <w:tcPr>
            <w:tcW w:w="7223" w:type="dxa"/>
            <w:tcBorders>
              <w:top w:val="single" w:sz="4" w:space="0" w:color="auto"/>
              <w:left w:val="single" w:sz="4" w:space="0" w:color="auto"/>
              <w:bottom w:val="single" w:sz="4" w:space="0" w:color="auto"/>
              <w:right w:val="single" w:sz="4" w:space="0" w:color="auto"/>
            </w:tcBorders>
            <w:vAlign w:val="center"/>
            <w:hideMark/>
          </w:tcPr>
          <w:p w14:paraId="0064960D" w14:textId="77777777" w:rsidR="00CA5EF7" w:rsidRPr="002B62C4" w:rsidRDefault="00CA5EF7" w:rsidP="00DE5CBB">
            <w:pPr>
              <w:jc w:val="center"/>
              <w:rPr>
                <w:b/>
                <w:bCs/>
                <w:sz w:val="20"/>
                <w:szCs w:val="20"/>
                <w:lang w:val="en-US" w:eastAsia="en-US"/>
              </w:rPr>
            </w:pPr>
            <w:r w:rsidRPr="002B62C4">
              <w:rPr>
                <w:b/>
                <w:bCs/>
                <w:sz w:val="20"/>
                <w:szCs w:val="20"/>
                <w:lang w:val="en-US" w:eastAsia="en-US"/>
              </w:rPr>
              <w:t xml:space="preserve">In millions of US dollars, unless otherwise indicated </w:t>
            </w:r>
          </w:p>
        </w:tc>
        <w:tc>
          <w:tcPr>
            <w:tcW w:w="1232" w:type="dxa"/>
            <w:tcBorders>
              <w:top w:val="single" w:sz="4" w:space="0" w:color="auto"/>
              <w:left w:val="single" w:sz="4" w:space="0" w:color="auto"/>
              <w:right w:val="single" w:sz="4" w:space="0" w:color="auto"/>
            </w:tcBorders>
            <w:vAlign w:val="center"/>
            <w:hideMark/>
          </w:tcPr>
          <w:p w14:paraId="2DDD1E5B" w14:textId="77777777" w:rsidR="00CA5EF7" w:rsidRPr="002B62C4" w:rsidRDefault="00CA5EF7" w:rsidP="00DE5CBB">
            <w:pPr>
              <w:jc w:val="center"/>
              <w:rPr>
                <w:b/>
                <w:sz w:val="20"/>
                <w:szCs w:val="20"/>
                <w:lang w:val="en-US" w:eastAsia="en-US"/>
              </w:rPr>
            </w:pPr>
            <w:r w:rsidRPr="002B62C4">
              <w:rPr>
                <w:b/>
                <w:bCs/>
                <w:sz w:val="20"/>
                <w:szCs w:val="20"/>
                <w:lang w:eastAsia="en-US"/>
              </w:rPr>
              <w:t>2025</w:t>
            </w:r>
          </w:p>
        </w:tc>
        <w:tc>
          <w:tcPr>
            <w:tcW w:w="1268" w:type="dxa"/>
            <w:tcBorders>
              <w:top w:val="single" w:sz="4" w:space="0" w:color="auto"/>
              <w:left w:val="single" w:sz="4" w:space="0" w:color="auto"/>
              <w:right w:val="single" w:sz="4" w:space="0" w:color="auto"/>
            </w:tcBorders>
            <w:vAlign w:val="center"/>
          </w:tcPr>
          <w:p w14:paraId="16E2544A" w14:textId="77777777" w:rsidR="00CA5EF7" w:rsidRPr="002B62C4" w:rsidRDefault="00CA5EF7" w:rsidP="00DE5CBB">
            <w:pPr>
              <w:jc w:val="center"/>
              <w:rPr>
                <w:b/>
                <w:bCs/>
                <w:sz w:val="20"/>
                <w:szCs w:val="20"/>
                <w:lang w:eastAsia="en-US"/>
              </w:rPr>
            </w:pPr>
            <w:r w:rsidRPr="002B62C4">
              <w:rPr>
                <w:b/>
                <w:bCs/>
                <w:sz w:val="20"/>
                <w:szCs w:val="20"/>
                <w:lang w:eastAsia="en-US"/>
              </w:rPr>
              <w:t>2024</w:t>
            </w:r>
          </w:p>
        </w:tc>
      </w:tr>
      <w:tr w:rsidR="00CA5EF7" w:rsidRPr="002B62C4" w14:paraId="3EA2FC07"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center"/>
            <w:hideMark/>
          </w:tcPr>
          <w:p w14:paraId="3AB73FF3" w14:textId="77777777" w:rsidR="00CA5EF7" w:rsidRPr="002B62C4" w:rsidRDefault="00CA5EF7" w:rsidP="00DE5CBB">
            <w:pPr>
              <w:rPr>
                <w:b/>
                <w:bCs/>
                <w:sz w:val="20"/>
                <w:szCs w:val="20"/>
                <w:lang w:val="en-US" w:eastAsia="en-US"/>
              </w:rPr>
            </w:pPr>
            <w:r w:rsidRPr="002B62C4">
              <w:rPr>
                <w:b/>
                <w:bCs/>
                <w:sz w:val="20"/>
                <w:szCs w:val="20"/>
                <w:lang w:eastAsia="en-US"/>
              </w:rPr>
              <w:t>Financial highlights:</w:t>
            </w:r>
          </w:p>
        </w:tc>
        <w:tc>
          <w:tcPr>
            <w:tcW w:w="1232" w:type="dxa"/>
            <w:tcBorders>
              <w:top w:val="single" w:sz="4" w:space="0" w:color="auto"/>
              <w:left w:val="nil"/>
              <w:bottom w:val="single" w:sz="4" w:space="0" w:color="auto"/>
              <w:right w:val="single" w:sz="4" w:space="0" w:color="auto"/>
            </w:tcBorders>
            <w:noWrap/>
            <w:vAlign w:val="center"/>
            <w:hideMark/>
          </w:tcPr>
          <w:p w14:paraId="231D2D90" w14:textId="77777777" w:rsidR="00CA5EF7" w:rsidRPr="002B62C4" w:rsidRDefault="00CA5EF7" w:rsidP="00DE5CBB">
            <w:pPr>
              <w:jc w:val="center"/>
              <w:rPr>
                <w:b/>
                <w:bCs/>
                <w:sz w:val="20"/>
                <w:szCs w:val="20"/>
                <w:lang w:val="en-US" w:eastAsia="en-US"/>
              </w:rPr>
            </w:pPr>
            <w:r w:rsidRPr="002B62C4">
              <w:rPr>
                <w:b/>
                <w:bCs/>
                <w:sz w:val="20"/>
                <w:szCs w:val="20"/>
                <w:lang w:eastAsia="en-US"/>
              </w:rPr>
              <w:t> </w:t>
            </w:r>
          </w:p>
        </w:tc>
        <w:tc>
          <w:tcPr>
            <w:tcW w:w="1268" w:type="dxa"/>
            <w:tcBorders>
              <w:top w:val="single" w:sz="4" w:space="0" w:color="auto"/>
              <w:left w:val="nil"/>
              <w:bottom w:val="single" w:sz="4" w:space="0" w:color="auto"/>
              <w:right w:val="single" w:sz="4" w:space="0" w:color="auto"/>
            </w:tcBorders>
            <w:noWrap/>
            <w:vAlign w:val="center"/>
            <w:hideMark/>
          </w:tcPr>
          <w:p w14:paraId="3169B073" w14:textId="77777777" w:rsidR="00CA5EF7" w:rsidRPr="002B62C4" w:rsidRDefault="00CA5EF7" w:rsidP="00DE5CBB">
            <w:pPr>
              <w:jc w:val="center"/>
              <w:rPr>
                <w:b/>
                <w:bCs/>
                <w:sz w:val="20"/>
                <w:szCs w:val="20"/>
                <w:lang w:val="en-US" w:eastAsia="en-US"/>
              </w:rPr>
            </w:pPr>
            <w:r w:rsidRPr="002B62C4">
              <w:rPr>
                <w:b/>
                <w:bCs/>
                <w:sz w:val="20"/>
                <w:szCs w:val="20"/>
                <w:lang w:eastAsia="en-US"/>
              </w:rPr>
              <w:t> </w:t>
            </w:r>
          </w:p>
        </w:tc>
      </w:tr>
      <w:tr w:rsidR="00CA5EF7" w:rsidRPr="002B62C4" w14:paraId="5D02C776"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0DAB60A1" w14:textId="77777777" w:rsidR="00CA5EF7" w:rsidRPr="002B62C4" w:rsidRDefault="00CA5EF7" w:rsidP="00DE5CBB">
            <w:pPr>
              <w:jc w:val="both"/>
              <w:rPr>
                <w:sz w:val="20"/>
                <w:szCs w:val="20"/>
                <w:lang w:eastAsia="en-US"/>
              </w:rPr>
            </w:pPr>
            <w:r w:rsidRPr="002B62C4">
              <w:rPr>
                <w:sz w:val="20"/>
                <w:szCs w:val="20"/>
                <w:lang w:eastAsia="en-US"/>
              </w:rPr>
              <w:t>Revenue</w:t>
            </w:r>
          </w:p>
        </w:tc>
        <w:tc>
          <w:tcPr>
            <w:tcW w:w="1232" w:type="dxa"/>
            <w:tcBorders>
              <w:top w:val="single" w:sz="4" w:space="0" w:color="auto"/>
              <w:left w:val="nil"/>
              <w:bottom w:val="single" w:sz="4" w:space="0" w:color="auto"/>
              <w:right w:val="single" w:sz="4" w:space="0" w:color="auto"/>
            </w:tcBorders>
            <w:noWrap/>
            <w:vAlign w:val="center"/>
          </w:tcPr>
          <w:p w14:paraId="02A6A9ED" w14:textId="77777777" w:rsidR="00CA5EF7" w:rsidRPr="002B62C4" w:rsidRDefault="00CA5EF7" w:rsidP="00DE5CBB">
            <w:pPr>
              <w:jc w:val="center"/>
              <w:rPr>
                <w:sz w:val="20"/>
                <w:szCs w:val="20"/>
                <w:lang w:val="en-US" w:eastAsia="en-US"/>
              </w:rPr>
            </w:pPr>
            <w:r w:rsidRPr="002B62C4">
              <w:rPr>
                <w:sz w:val="20"/>
                <w:szCs w:val="20"/>
                <w:lang w:eastAsia="en-US"/>
              </w:rPr>
              <w:t>1434,6</w:t>
            </w:r>
          </w:p>
        </w:tc>
        <w:tc>
          <w:tcPr>
            <w:tcW w:w="1268" w:type="dxa"/>
            <w:tcBorders>
              <w:top w:val="single" w:sz="4" w:space="0" w:color="auto"/>
              <w:left w:val="nil"/>
              <w:bottom w:val="single" w:sz="4" w:space="0" w:color="auto"/>
              <w:right w:val="single" w:sz="4" w:space="0" w:color="auto"/>
            </w:tcBorders>
            <w:noWrap/>
            <w:vAlign w:val="center"/>
            <w:hideMark/>
          </w:tcPr>
          <w:p w14:paraId="4ED1ADBB" w14:textId="77777777" w:rsidR="00CA5EF7" w:rsidRPr="002B62C4" w:rsidRDefault="00CA5EF7" w:rsidP="00DE5CBB">
            <w:pPr>
              <w:jc w:val="center"/>
              <w:rPr>
                <w:sz w:val="20"/>
                <w:szCs w:val="20"/>
                <w:lang w:val="en-US" w:eastAsia="en-US"/>
              </w:rPr>
            </w:pPr>
            <w:r w:rsidRPr="002B62C4">
              <w:rPr>
                <w:sz w:val="20"/>
                <w:szCs w:val="20"/>
                <w:lang w:eastAsia="en-US"/>
              </w:rPr>
              <w:t>989,1</w:t>
            </w:r>
          </w:p>
        </w:tc>
      </w:tr>
      <w:tr w:rsidR="00CA5EF7" w:rsidRPr="002B62C4" w14:paraId="3B4DE4EB" w14:textId="77777777" w:rsidTr="00DE5CBB">
        <w:trPr>
          <w:trHeight w:hRule="exact" w:val="291"/>
        </w:trPr>
        <w:tc>
          <w:tcPr>
            <w:tcW w:w="7223" w:type="dxa"/>
            <w:tcBorders>
              <w:top w:val="single" w:sz="4" w:space="0" w:color="auto"/>
              <w:left w:val="single" w:sz="4" w:space="0" w:color="auto"/>
              <w:bottom w:val="single" w:sz="4" w:space="0" w:color="auto"/>
              <w:right w:val="single" w:sz="4" w:space="0" w:color="auto"/>
            </w:tcBorders>
            <w:noWrap/>
            <w:vAlign w:val="bottom"/>
          </w:tcPr>
          <w:p w14:paraId="4EAAD342" w14:textId="77777777" w:rsidR="00CA5EF7" w:rsidRPr="002B62C4" w:rsidRDefault="00CA5EF7" w:rsidP="00DE5CBB">
            <w:pPr>
              <w:jc w:val="both"/>
              <w:rPr>
                <w:sz w:val="20"/>
                <w:szCs w:val="20"/>
                <w:lang w:eastAsia="en-US"/>
              </w:rPr>
            </w:pPr>
            <w:r w:rsidRPr="002B62C4">
              <w:rPr>
                <w:sz w:val="20"/>
                <w:szCs w:val="20"/>
                <w:lang w:eastAsia="en-US"/>
              </w:rPr>
              <w:t>Cost of sales</w:t>
            </w:r>
          </w:p>
        </w:tc>
        <w:tc>
          <w:tcPr>
            <w:tcW w:w="1232" w:type="dxa"/>
            <w:tcBorders>
              <w:top w:val="single" w:sz="4" w:space="0" w:color="auto"/>
              <w:left w:val="nil"/>
              <w:bottom w:val="single" w:sz="4" w:space="0" w:color="auto"/>
              <w:right w:val="single" w:sz="4" w:space="0" w:color="auto"/>
            </w:tcBorders>
            <w:noWrap/>
            <w:vAlign w:val="bottom"/>
          </w:tcPr>
          <w:p w14:paraId="0A775935" w14:textId="77777777" w:rsidR="00CA5EF7" w:rsidRPr="002B62C4" w:rsidRDefault="00CA5EF7" w:rsidP="00DE5CBB">
            <w:pPr>
              <w:jc w:val="center"/>
              <w:rPr>
                <w:sz w:val="20"/>
                <w:szCs w:val="20"/>
                <w:lang w:val="en-US" w:eastAsia="en-US"/>
              </w:rPr>
            </w:pPr>
            <w:r w:rsidRPr="002B62C4">
              <w:rPr>
                <w:sz w:val="20"/>
                <w:szCs w:val="20"/>
                <w:lang w:eastAsia="en-US"/>
              </w:rPr>
              <w:t>440,5</w:t>
            </w:r>
          </w:p>
        </w:tc>
        <w:tc>
          <w:tcPr>
            <w:tcW w:w="1268" w:type="dxa"/>
            <w:tcBorders>
              <w:top w:val="single" w:sz="4" w:space="0" w:color="auto"/>
              <w:left w:val="nil"/>
              <w:bottom w:val="single" w:sz="4" w:space="0" w:color="auto"/>
              <w:right w:val="single" w:sz="4" w:space="0" w:color="auto"/>
            </w:tcBorders>
            <w:noWrap/>
            <w:vAlign w:val="bottom"/>
          </w:tcPr>
          <w:p w14:paraId="1FA5EBA5" w14:textId="77777777" w:rsidR="00CA5EF7" w:rsidRPr="002B62C4" w:rsidRDefault="00CA5EF7" w:rsidP="00DE5CBB">
            <w:pPr>
              <w:jc w:val="center"/>
              <w:rPr>
                <w:sz w:val="20"/>
                <w:szCs w:val="20"/>
                <w:lang w:eastAsia="en-US"/>
              </w:rPr>
            </w:pPr>
            <w:r w:rsidRPr="002B62C4">
              <w:rPr>
                <w:sz w:val="20"/>
                <w:szCs w:val="20"/>
                <w:lang w:eastAsia="en-US"/>
              </w:rPr>
              <w:t>411,1</w:t>
            </w:r>
          </w:p>
        </w:tc>
      </w:tr>
      <w:tr w:rsidR="00CA5EF7" w:rsidRPr="002B62C4" w14:paraId="1A6A58B8" w14:textId="77777777" w:rsidTr="00DE5CBB">
        <w:trPr>
          <w:trHeight w:hRule="exact" w:val="291"/>
        </w:trPr>
        <w:tc>
          <w:tcPr>
            <w:tcW w:w="7223" w:type="dxa"/>
            <w:tcBorders>
              <w:top w:val="single" w:sz="4" w:space="0" w:color="auto"/>
              <w:left w:val="single" w:sz="4" w:space="0" w:color="auto"/>
              <w:bottom w:val="single" w:sz="4" w:space="0" w:color="auto"/>
              <w:right w:val="single" w:sz="4" w:space="0" w:color="auto"/>
            </w:tcBorders>
            <w:noWrap/>
            <w:vAlign w:val="bottom"/>
          </w:tcPr>
          <w:p w14:paraId="3653EC41" w14:textId="77777777" w:rsidR="00CA5EF7" w:rsidRPr="002B62C4" w:rsidRDefault="00CA5EF7" w:rsidP="00DE5CBB">
            <w:pPr>
              <w:jc w:val="both"/>
              <w:rPr>
                <w:sz w:val="20"/>
                <w:szCs w:val="20"/>
                <w:lang w:val="en-US" w:eastAsia="en-US"/>
              </w:rPr>
            </w:pPr>
            <w:r w:rsidRPr="002B62C4">
              <w:rPr>
                <w:sz w:val="20"/>
                <w:szCs w:val="20"/>
                <w:lang w:val="en-US" w:eastAsia="en-US"/>
              </w:rPr>
              <w:t>Other operating expenses and income</w:t>
            </w:r>
          </w:p>
        </w:tc>
        <w:tc>
          <w:tcPr>
            <w:tcW w:w="1232" w:type="dxa"/>
            <w:tcBorders>
              <w:top w:val="single" w:sz="4" w:space="0" w:color="auto"/>
              <w:left w:val="nil"/>
              <w:bottom w:val="single" w:sz="4" w:space="0" w:color="auto"/>
              <w:right w:val="single" w:sz="4" w:space="0" w:color="auto"/>
            </w:tcBorders>
            <w:noWrap/>
            <w:vAlign w:val="bottom"/>
          </w:tcPr>
          <w:p w14:paraId="4C9B4E22" w14:textId="77777777" w:rsidR="00CA5EF7" w:rsidRPr="002B62C4" w:rsidRDefault="00CA5EF7" w:rsidP="00DE5CBB">
            <w:pPr>
              <w:jc w:val="center"/>
              <w:rPr>
                <w:sz w:val="20"/>
                <w:szCs w:val="20"/>
                <w:lang w:eastAsia="en-US"/>
              </w:rPr>
            </w:pPr>
            <w:r w:rsidRPr="002B62C4">
              <w:rPr>
                <w:sz w:val="20"/>
                <w:szCs w:val="20"/>
                <w:lang w:eastAsia="en-US"/>
              </w:rPr>
              <w:t>316,3</w:t>
            </w:r>
          </w:p>
        </w:tc>
        <w:tc>
          <w:tcPr>
            <w:tcW w:w="1268" w:type="dxa"/>
            <w:tcBorders>
              <w:top w:val="single" w:sz="4" w:space="0" w:color="auto"/>
              <w:left w:val="nil"/>
              <w:bottom w:val="single" w:sz="4" w:space="0" w:color="auto"/>
              <w:right w:val="single" w:sz="4" w:space="0" w:color="auto"/>
            </w:tcBorders>
            <w:noWrap/>
            <w:vAlign w:val="bottom"/>
          </w:tcPr>
          <w:p w14:paraId="7D1143FE" w14:textId="77777777" w:rsidR="00CA5EF7" w:rsidRPr="002B62C4" w:rsidRDefault="00CA5EF7" w:rsidP="00DE5CBB">
            <w:pPr>
              <w:jc w:val="center"/>
              <w:rPr>
                <w:sz w:val="20"/>
                <w:szCs w:val="20"/>
                <w:lang w:val="en-US" w:eastAsia="en-US"/>
              </w:rPr>
            </w:pPr>
            <w:r w:rsidRPr="002B62C4">
              <w:rPr>
                <w:sz w:val="20"/>
                <w:szCs w:val="20"/>
                <w:lang w:eastAsia="en-US"/>
              </w:rPr>
              <w:t>189,4</w:t>
            </w:r>
          </w:p>
        </w:tc>
      </w:tr>
      <w:tr w:rsidR="00CA5EF7" w:rsidRPr="002B62C4" w14:paraId="09ED83C2" w14:textId="77777777" w:rsidTr="00DE5CBB">
        <w:trPr>
          <w:trHeight w:hRule="exact" w:val="291"/>
        </w:trPr>
        <w:tc>
          <w:tcPr>
            <w:tcW w:w="7223" w:type="dxa"/>
            <w:tcBorders>
              <w:top w:val="single" w:sz="4" w:space="0" w:color="auto"/>
              <w:left w:val="single" w:sz="4" w:space="0" w:color="auto"/>
              <w:bottom w:val="single" w:sz="4" w:space="0" w:color="auto"/>
              <w:right w:val="single" w:sz="4" w:space="0" w:color="auto"/>
            </w:tcBorders>
            <w:noWrap/>
            <w:vAlign w:val="bottom"/>
          </w:tcPr>
          <w:p w14:paraId="7CDA3E9E" w14:textId="77777777" w:rsidR="00CA5EF7" w:rsidRPr="002B62C4" w:rsidRDefault="00CA5EF7" w:rsidP="00DE5CBB">
            <w:pPr>
              <w:jc w:val="both"/>
              <w:rPr>
                <w:sz w:val="20"/>
                <w:szCs w:val="20"/>
                <w:lang w:val="en-US" w:eastAsia="en-US"/>
              </w:rPr>
            </w:pPr>
            <w:r w:rsidRPr="002B62C4">
              <w:rPr>
                <w:sz w:val="20"/>
                <w:szCs w:val="20"/>
                <w:lang w:val="en-US" w:eastAsia="en-US"/>
              </w:rPr>
              <w:t>Other non-operating expenses and (income)</w:t>
            </w:r>
          </w:p>
        </w:tc>
        <w:tc>
          <w:tcPr>
            <w:tcW w:w="1232" w:type="dxa"/>
            <w:tcBorders>
              <w:top w:val="single" w:sz="4" w:space="0" w:color="auto"/>
              <w:left w:val="nil"/>
              <w:bottom w:val="single" w:sz="4" w:space="0" w:color="auto"/>
              <w:right w:val="single" w:sz="4" w:space="0" w:color="auto"/>
            </w:tcBorders>
            <w:noWrap/>
            <w:vAlign w:val="bottom"/>
          </w:tcPr>
          <w:p w14:paraId="5BA120F1" w14:textId="77777777" w:rsidR="00CA5EF7" w:rsidRPr="002B62C4" w:rsidRDefault="00CA5EF7" w:rsidP="00DE5CBB">
            <w:pPr>
              <w:jc w:val="center"/>
              <w:rPr>
                <w:sz w:val="20"/>
                <w:szCs w:val="20"/>
                <w:lang w:val="en-US" w:eastAsia="en-US"/>
              </w:rPr>
            </w:pPr>
            <w:r w:rsidRPr="002B62C4">
              <w:rPr>
                <w:sz w:val="20"/>
                <w:szCs w:val="20"/>
                <w:lang w:eastAsia="en-US"/>
              </w:rPr>
              <w:t>(28,4)</w:t>
            </w:r>
          </w:p>
        </w:tc>
        <w:tc>
          <w:tcPr>
            <w:tcW w:w="1268" w:type="dxa"/>
            <w:tcBorders>
              <w:top w:val="single" w:sz="4" w:space="0" w:color="auto"/>
              <w:left w:val="nil"/>
              <w:bottom w:val="single" w:sz="4" w:space="0" w:color="auto"/>
              <w:right w:val="single" w:sz="4" w:space="0" w:color="auto"/>
            </w:tcBorders>
            <w:noWrap/>
            <w:vAlign w:val="bottom"/>
          </w:tcPr>
          <w:p w14:paraId="4F79ACF8" w14:textId="77777777" w:rsidR="00CA5EF7" w:rsidRPr="002B62C4" w:rsidRDefault="00CA5EF7" w:rsidP="00DE5CBB">
            <w:pPr>
              <w:jc w:val="center"/>
              <w:rPr>
                <w:sz w:val="20"/>
                <w:szCs w:val="20"/>
                <w:lang w:val="en-US" w:eastAsia="en-US"/>
              </w:rPr>
            </w:pPr>
            <w:r w:rsidRPr="002B62C4">
              <w:rPr>
                <w:sz w:val="20"/>
                <w:szCs w:val="20"/>
                <w:lang w:eastAsia="en-US"/>
              </w:rPr>
              <w:t>(8,8)</w:t>
            </w:r>
          </w:p>
        </w:tc>
      </w:tr>
      <w:tr w:rsidR="00CA5EF7" w:rsidRPr="002B62C4" w14:paraId="791DD1A2" w14:textId="77777777" w:rsidTr="00DE5CBB">
        <w:trPr>
          <w:trHeight w:hRule="exact" w:val="293"/>
        </w:trPr>
        <w:tc>
          <w:tcPr>
            <w:tcW w:w="7223" w:type="dxa"/>
            <w:tcBorders>
              <w:top w:val="single" w:sz="4" w:space="0" w:color="auto"/>
              <w:left w:val="single" w:sz="4" w:space="0" w:color="auto"/>
              <w:bottom w:val="single" w:sz="4" w:space="0" w:color="auto"/>
              <w:right w:val="single" w:sz="4" w:space="0" w:color="auto"/>
            </w:tcBorders>
            <w:noWrap/>
            <w:vAlign w:val="bottom"/>
          </w:tcPr>
          <w:p w14:paraId="77E45EE6" w14:textId="77777777" w:rsidR="00CA5EF7" w:rsidRPr="002B62C4" w:rsidRDefault="00CA5EF7" w:rsidP="00DE5CBB">
            <w:pPr>
              <w:jc w:val="both"/>
              <w:rPr>
                <w:sz w:val="20"/>
                <w:szCs w:val="20"/>
                <w:lang w:eastAsia="en-US"/>
              </w:rPr>
            </w:pPr>
            <w:r w:rsidRPr="002B62C4">
              <w:rPr>
                <w:sz w:val="20"/>
                <w:szCs w:val="20"/>
                <w:lang w:eastAsia="en-US"/>
              </w:rPr>
              <w:t>Net profit</w:t>
            </w:r>
          </w:p>
        </w:tc>
        <w:tc>
          <w:tcPr>
            <w:tcW w:w="1232" w:type="dxa"/>
            <w:tcBorders>
              <w:top w:val="single" w:sz="4" w:space="0" w:color="auto"/>
              <w:left w:val="nil"/>
              <w:bottom w:val="single" w:sz="4" w:space="0" w:color="auto"/>
              <w:right w:val="single" w:sz="4" w:space="0" w:color="auto"/>
            </w:tcBorders>
            <w:noWrap/>
            <w:vAlign w:val="bottom"/>
          </w:tcPr>
          <w:p w14:paraId="0F198AF4" w14:textId="77777777" w:rsidR="00CA5EF7" w:rsidRPr="002B62C4" w:rsidRDefault="00CA5EF7" w:rsidP="00DE5CBB">
            <w:pPr>
              <w:jc w:val="center"/>
              <w:rPr>
                <w:sz w:val="20"/>
                <w:szCs w:val="20"/>
                <w:lang w:eastAsia="en-US"/>
              </w:rPr>
            </w:pPr>
            <w:r w:rsidRPr="002B62C4">
              <w:rPr>
                <w:sz w:val="20"/>
                <w:szCs w:val="20"/>
                <w:lang w:eastAsia="en-US"/>
              </w:rPr>
              <w:t>706,1</w:t>
            </w:r>
          </w:p>
        </w:tc>
        <w:tc>
          <w:tcPr>
            <w:tcW w:w="1268" w:type="dxa"/>
            <w:tcBorders>
              <w:top w:val="single" w:sz="4" w:space="0" w:color="auto"/>
              <w:left w:val="nil"/>
              <w:bottom w:val="single" w:sz="4" w:space="0" w:color="auto"/>
              <w:right w:val="single" w:sz="4" w:space="0" w:color="auto"/>
            </w:tcBorders>
            <w:noWrap/>
            <w:vAlign w:val="bottom"/>
          </w:tcPr>
          <w:p w14:paraId="61F46D9C" w14:textId="77777777" w:rsidR="00CA5EF7" w:rsidRPr="002B62C4" w:rsidRDefault="00CA5EF7" w:rsidP="00DE5CBB">
            <w:pPr>
              <w:jc w:val="center"/>
              <w:rPr>
                <w:sz w:val="20"/>
                <w:szCs w:val="20"/>
                <w:lang w:eastAsia="en-US"/>
              </w:rPr>
            </w:pPr>
            <w:r w:rsidRPr="002B62C4">
              <w:rPr>
                <w:sz w:val="20"/>
                <w:szCs w:val="20"/>
                <w:lang w:eastAsia="en-US"/>
              </w:rPr>
              <w:t>397,4</w:t>
            </w:r>
          </w:p>
        </w:tc>
      </w:tr>
      <w:tr w:rsidR="00CA5EF7" w:rsidRPr="002B62C4" w14:paraId="44391350" w14:textId="77777777" w:rsidTr="00DE5CBB">
        <w:trPr>
          <w:trHeight w:hRule="exact" w:val="86"/>
        </w:trPr>
        <w:tc>
          <w:tcPr>
            <w:tcW w:w="7223" w:type="dxa"/>
            <w:tcBorders>
              <w:top w:val="single" w:sz="4" w:space="0" w:color="auto"/>
              <w:left w:val="single" w:sz="4" w:space="0" w:color="auto"/>
              <w:bottom w:val="single" w:sz="4" w:space="0" w:color="auto"/>
              <w:right w:val="single" w:sz="4" w:space="0" w:color="auto"/>
            </w:tcBorders>
            <w:noWrap/>
            <w:vAlign w:val="bottom"/>
          </w:tcPr>
          <w:p w14:paraId="08003D80" w14:textId="77777777" w:rsidR="00CA5EF7" w:rsidRPr="002B62C4" w:rsidRDefault="00CA5EF7" w:rsidP="00DE5CBB">
            <w:pPr>
              <w:jc w:val="both"/>
              <w:rPr>
                <w:sz w:val="20"/>
                <w:szCs w:val="20"/>
                <w:lang w:eastAsia="en-US"/>
              </w:rPr>
            </w:pPr>
          </w:p>
        </w:tc>
        <w:tc>
          <w:tcPr>
            <w:tcW w:w="1232" w:type="dxa"/>
            <w:tcBorders>
              <w:top w:val="single" w:sz="4" w:space="0" w:color="auto"/>
              <w:left w:val="nil"/>
              <w:bottom w:val="single" w:sz="4" w:space="0" w:color="auto"/>
              <w:right w:val="single" w:sz="4" w:space="0" w:color="auto"/>
            </w:tcBorders>
            <w:noWrap/>
            <w:vAlign w:val="center"/>
          </w:tcPr>
          <w:p w14:paraId="0C43FE8B" w14:textId="77777777" w:rsidR="00CA5EF7" w:rsidRPr="002B62C4" w:rsidRDefault="00CA5EF7" w:rsidP="00DE5CBB">
            <w:pPr>
              <w:jc w:val="center"/>
              <w:rPr>
                <w:sz w:val="20"/>
                <w:szCs w:val="20"/>
                <w:lang w:eastAsia="en-US"/>
              </w:rPr>
            </w:pPr>
          </w:p>
        </w:tc>
        <w:tc>
          <w:tcPr>
            <w:tcW w:w="1268" w:type="dxa"/>
            <w:tcBorders>
              <w:top w:val="single" w:sz="4" w:space="0" w:color="auto"/>
              <w:left w:val="nil"/>
              <w:bottom w:val="single" w:sz="4" w:space="0" w:color="auto"/>
              <w:right w:val="single" w:sz="4" w:space="0" w:color="auto"/>
            </w:tcBorders>
            <w:noWrap/>
            <w:vAlign w:val="center"/>
          </w:tcPr>
          <w:p w14:paraId="2788BFF6" w14:textId="77777777" w:rsidR="00CA5EF7" w:rsidRPr="002B62C4" w:rsidRDefault="00CA5EF7" w:rsidP="00DE5CBB">
            <w:pPr>
              <w:jc w:val="center"/>
              <w:rPr>
                <w:sz w:val="20"/>
                <w:szCs w:val="20"/>
                <w:lang w:eastAsia="en-US"/>
              </w:rPr>
            </w:pPr>
          </w:p>
        </w:tc>
      </w:tr>
      <w:tr w:rsidR="00CA5EF7" w:rsidRPr="002B62C4" w14:paraId="43D0A105"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5CA6C0D3" w14:textId="77777777" w:rsidR="00CA5EF7" w:rsidRPr="002B62C4" w:rsidRDefault="00CA5EF7" w:rsidP="00DE5CBB">
            <w:pPr>
              <w:jc w:val="both"/>
              <w:rPr>
                <w:b/>
                <w:bCs/>
                <w:sz w:val="20"/>
                <w:szCs w:val="20"/>
                <w:lang w:eastAsia="en-US"/>
              </w:rPr>
            </w:pPr>
            <w:r w:rsidRPr="002B62C4">
              <w:rPr>
                <w:b/>
                <w:bCs/>
                <w:sz w:val="20"/>
                <w:szCs w:val="20"/>
                <w:lang w:eastAsia="en-US"/>
              </w:rPr>
              <w:t>Key production indicators:</w:t>
            </w:r>
          </w:p>
        </w:tc>
        <w:tc>
          <w:tcPr>
            <w:tcW w:w="1232" w:type="dxa"/>
            <w:tcBorders>
              <w:top w:val="single" w:sz="4" w:space="0" w:color="auto"/>
              <w:left w:val="nil"/>
              <w:bottom w:val="single" w:sz="4" w:space="0" w:color="auto"/>
              <w:right w:val="single" w:sz="4" w:space="0" w:color="auto"/>
            </w:tcBorders>
            <w:noWrap/>
            <w:vAlign w:val="center"/>
          </w:tcPr>
          <w:p w14:paraId="0440338D" w14:textId="77777777" w:rsidR="00CA5EF7" w:rsidRPr="002B62C4" w:rsidRDefault="00CA5EF7" w:rsidP="00DE5CBB">
            <w:pPr>
              <w:jc w:val="center"/>
              <w:rPr>
                <w:sz w:val="20"/>
                <w:szCs w:val="20"/>
                <w:lang w:eastAsia="en-US"/>
              </w:rPr>
            </w:pPr>
          </w:p>
        </w:tc>
        <w:tc>
          <w:tcPr>
            <w:tcW w:w="1268" w:type="dxa"/>
            <w:tcBorders>
              <w:top w:val="single" w:sz="4" w:space="0" w:color="auto"/>
              <w:left w:val="nil"/>
              <w:bottom w:val="single" w:sz="4" w:space="0" w:color="auto"/>
              <w:right w:val="single" w:sz="4" w:space="0" w:color="auto"/>
            </w:tcBorders>
            <w:noWrap/>
            <w:vAlign w:val="center"/>
            <w:hideMark/>
          </w:tcPr>
          <w:p w14:paraId="2E0653FB" w14:textId="77777777" w:rsidR="00CA5EF7" w:rsidRPr="002B62C4" w:rsidRDefault="00CA5EF7" w:rsidP="00DE5CBB">
            <w:pPr>
              <w:jc w:val="center"/>
              <w:rPr>
                <w:sz w:val="20"/>
                <w:szCs w:val="20"/>
                <w:lang w:eastAsia="en-US"/>
              </w:rPr>
            </w:pPr>
          </w:p>
        </w:tc>
      </w:tr>
      <w:tr w:rsidR="00CA5EF7" w:rsidRPr="002B62C4" w14:paraId="4A1B625B"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35BE18AE" w14:textId="77777777" w:rsidR="00CA5EF7" w:rsidRPr="002B62C4" w:rsidRDefault="00CA5EF7" w:rsidP="00DE5CBB">
            <w:pPr>
              <w:rPr>
                <w:sz w:val="20"/>
                <w:szCs w:val="20"/>
                <w:lang w:val="en-US" w:eastAsia="en-US"/>
              </w:rPr>
            </w:pPr>
            <w:r w:rsidRPr="002B62C4">
              <w:rPr>
                <w:sz w:val="20"/>
                <w:szCs w:val="20"/>
                <w:lang w:val="en-US" w:eastAsia="en-US"/>
              </w:rPr>
              <w:t>Volume of mining operations (thousand tons)</w:t>
            </w:r>
          </w:p>
        </w:tc>
        <w:tc>
          <w:tcPr>
            <w:tcW w:w="1232" w:type="dxa"/>
            <w:tcBorders>
              <w:top w:val="single" w:sz="4" w:space="0" w:color="auto"/>
              <w:left w:val="nil"/>
              <w:bottom w:val="single" w:sz="4" w:space="0" w:color="auto"/>
              <w:right w:val="single" w:sz="4" w:space="0" w:color="auto"/>
            </w:tcBorders>
            <w:noWrap/>
            <w:vAlign w:val="center"/>
          </w:tcPr>
          <w:p w14:paraId="58C59936" w14:textId="77777777" w:rsidR="00CA5EF7" w:rsidRPr="002B62C4" w:rsidRDefault="00CA5EF7" w:rsidP="00DE5CBB">
            <w:pPr>
              <w:jc w:val="center"/>
              <w:rPr>
                <w:sz w:val="20"/>
                <w:szCs w:val="20"/>
                <w:lang w:eastAsia="en-US"/>
              </w:rPr>
            </w:pPr>
            <w:r w:rsidRPr="002B62C4">
              <w:rPr>
                <w:sz w:val="20"/>
                <w:szCs w:val="20"/>
                <w:lang w:eastAsia="en-US"/>
              </w:rPr>
              <w:t>182 773</w:t>
            </w:r>
          </w:p>
        </w:tc>
        <w:tc>
          <w:tcPr>
            <w:tcW w:w="1268" w:type="dxa"/>
            <w:tcBorders>
              <w:top w:val="single" w:sz="4" w:space="0" w:color="auto"/>
              <w:left w:val="nil"/>
              <w:bottom w:val="single" w:sz="4" w:space="0" w:color="auto"/>
              <w:right w:val="single" w:sz="4" w:space="0" w:color="auto"/>
            </w:tcBorders>
            <w:noWrap/>
            <w:vAlign w:val="center"/>
            <w:hideMark/>
          </w:tcPr>
          <w:p w14:paraId="2F9389D4" w14:textId="77777777" w:rsidR="00CA5EF7" w:rsidRPr="002B62C4" w:rsidRDefault="00CA5EF7" w:rsidP="00DE5CBB">
            <w:pPr>
              <w:jc w:val="center"/>
              <w:rPr>
                <w:sz w:val="20"/>
                <w:szCs w:val="20"/>
                <w:lang w:val="en-US" w:eastAsia="en-US"/>
              </w:rPr>
            </w:pPr>
            <w:r w:rsidRPr="002B62C4">
              <w:rPr>
                <w:sz w:val="20"/>
                <w:szCs w:val="20"/>
                <w:lang w:eastAsia="en-US"/>
              </w:rPr>
              <w:t>189 089</w:t>
            </w:r>
          </w:p>
        </w:tc>
      </w:tr>
      <w:tr w:rsidR="00CA5EF7" w:rsidRPr="002B62C4" w14:paraId="122D1E1D"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17991CD2" w14:textId="77777777" w:rsidR="00CA5EF7" w:rsidRPr="002B62C4" w:rsidRDefault="00CA5EF7" w:rsidP="00DE5CBB">
            <w:pPr>
              <w:rPr>
                <w:sz w:val="20"/>
                <w:szCs w:val="20"/>
                <w:lang w:val="en-US" w:eastAsia="en-US"/>
              </w:rPr>
            </w:pPr>
            <w:r w:rsidRPr="002B62C4">
              <w:rPr>
                <w:sz w:val="20"/>
                <w:szCs w:val="20"/>
                <w:lang w:val="en-US" w:eastAsia="en-US"/>
              </w:rPr>
              <w:t>Volume of marketable ore mined (thousand tons)</w:t>
            </w:r>
          </w:p>
        </w:tc>
        <w:tc>
          <w:tcPr>
            <w:tcW w:w="1232" w:type="dxa"/>
            <w:tcBorders>
              <w:top w:val="single" w:sz="4" w:space="0" w:color="auto"/>
              <w:left w:val="nil"/>
              <w:bottom w:val="single" w:sz="4" w:space="0" w:color="auto"/>
              <w:right w:val="single" w:sz="4" w:space="0" w:color="auto"/>
            </w:tcBorders>
            <w:noWrap/>
            <w:vAlign w:val="center"/>
          </w:tcPr>
          <w:p w14:paraId="67F35D02" w14:textId="77777777" w:rsidR="00CA5EF7" w:rsidRPr="002B62C4" w:rsidRDefault="00CA5EF7" w:rsidP="00DE5CBB">
            <w:pPr>
              <w:jc w:val="center"/>
              <w:rPr>
                <w:sz w:val="20"/>
                <w:szCs w:val="20"/>
                <w:lang w:eastAsia="en-US"/>
              </w:rPr>
            </w:pPr>
            <w:r w:rsidRPr="002B62C4">
              <w:rPr>
                <w:sz w:val="20"/>
                <w:szCs w:val="20"/>
                <w:lang w:eastAsia="en-US"/>
              </w:rPr>
              <w:t>5 807</w:t>
            </w:r>
          </w:p>
        </w:tc>
        <w:tc>
          <w:tcPr>
            <w:tcW w:w="1268" w:type="dxa"/>
            <w:tcBorders>
              <w:top w:val="single" w:sz="4" w:space="0" w:color="auto"/>
              <w:left w:val="nil"/>
              <w:bottom w:val="single" w:sz="4" w:space="0" w:color="auto"/>
              <w:right w:val="single" w:sz="4" w:space="0" w:color="auto"/>
            </w:tcBorders>
            <w:noWrap/>
            <w:vAlign w:val="center"/>
            <w:hideMark/>
          </w:tcPr>
          <w:p w14:paraId="7E4402D2" w14:textId="77777777" w:rsidR="00CA5EF7" w:rsidRPr="002B62C4" w:rsidRDefault="00CA5EF7" w:rsidP="00DE5CBB">
            <w:pPr>
              <w:jc w:val="center"/>
              <w:rPr>
                <w:sz w:val="20"/>
                <w:szCs w:val="20"/>
                <w:lang w:val="en-US" w:eastAsia="en-US"/>
              </w:rPr>
            </w:pPr>
            <w:r w:rsidRPr="002B62C4">
              <w:rPr>
                <w:sz w:val="20"/>
                <w:szCs w:val="20"/>
                <w:lang w:eastAsia="en-US"/>
              </w:rPr>
              <w:t>7 286</w:t>
            </w:r>
          </w:p>
        </w:tc>
      </w:tr>
      <w:tr w:rsidR="00CA5EF7" w:rsidRPr="002B62C4" w14:paraId="7DB2B579"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67E900B2" w14:textId="77777777" w:rsidR="00CA5EF7" w:rsidRPr="002B62C4" w:rsidRDefault="00CA5EF7" w:rsidP="00DE5CBB">
            <w:pPr>
              <w:rPr>
                <w:sz w:val="20"/>
                <w:szCs w:val="20"/>
                <w:lang w:val="en-US" w:eastAsia="en-US"/>
              </w:rPr>
            </w:pPr>
            <w:r w:rsidRPr="002B62C4">
              <w:rPr>
                <w:sz w:val="20"/>
                <w:szCs w:val="20"/>
                <w:lang w:val="en-US" w:eastAsia="en-US"/>
              </w:rPr>
              <w:t>Average gold grade mined (g/t)</w:t>
            </w:r>
          </w:p>
        </w:tc>
        <w:tc>
          <w:tcPr>
            <w:tcW w:w="1232" w:type="dxa"/>
            <w:tcBorders>
              <w:top w:val="single" w:sz="4" w:space="0" w:color="auto"/>
              <w:left w:val="nil"/>
              <w:bottom w:val="single" w:sz="4" w:space="0" w:color="auto"/>
              <w:right w:val="single" w:sz="4" w:space="0" w:color="auto"/>
            </w:tcBorders>
            <w:noWrap/>
            <w:vAlign w:val="center"/>
          </w:tcPr>
          <w:p w14:paraId="70CC9569" w14:textId="77777777" w:rsidR="00CA5EF7" w:rsidRPr="002B62C4" w:rsidRDefault="00CA5EF7" w:rsidP="00DE5CBB">
            <w:pPr>
              <w:jc w:val="center"/>
              <w:rPr>
                <w:sz w:val="20"/>
                <w:szCs w:val="20"/>
                <w:lang w:eastAsia="en-US"/>
              </w:rPr>
            </w:pPr>
            <w:r w:rsidRPr="002B62C4">
              <w:rPr>
                <w:sz w:val="20"/>
                <w:szCs w:val="20"/>
                <w:lang w:eastAsia="en-US"/>
              </w:rPr>
              <w:t>2,39</w:t>
            </w:r>
          </w:p>
        </w:tc>
        <w:tc>
          <w:tcPr>
            <w:tcW w:w="1268" w:type="dxa"/>
            <w:tcBorders>
              <w:top w:val="single" w:sz="4" w:space="0" w:color="auto"/>
              <w:left w:val="nil"/>
              <w:bottom w:val="single" w:sz="4" w:space="0" w:color="auto"/>
              <w:right w:val="single" w:sz="4" w:space="0" w:color="auto"/>
            </w:tcBorders>
            <w:noWrap/>
            <w:vAlign w:val="center"/>
            <w:hideMark/>
          </w:tcPr>
          <w:p w14:paraId="738CDACC" w14:textId="77777777" w:rsidR="00CA5EF7" w:rsidRPr="002B62C4" w:rsidRDefault="00CA5EF7" w:rsidP="00DE5CBB">
            <w:pPr>
              <w:jc w:val="center"/>
              <w:rPr>
                <w:sz w:val="20"/>
                <w:szCs w:val="20"/>
                <w:lang w:val="en-US" w:eastAsia="en-US"/>
              </w:rPr>
            </w:pPr>
            <w:r w:rsidRPr="002B62C4">
              <w:rPr>
                <w:sz w:val="20"/>
                <w:szCs w:val="20"/>
                <w:lang w:eastAsia="en-US"/>
              </w:rPr>
              <w:t>2,27</w:t>
            </w:r>
          </w:p>
        </w:tc>
      </w:tr>
      <w:tr w:rsidR="00CA5EF7" w:rsidRPr="002B62C4" w14:paraId="2F6EEB0B"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4BE8DC6A" w14:textId="77777777" w:rsidR="00CA5EF7" w:rsidRPr="002B62C4" w:rsidRDefault="00CA5EF7" w:rsidP="00DE5CBB">
            <w:pPr>
              <w:rPr>
                <w:sz w:val="20"/>
                <w:szCs w:val="20"/>
                <w:lang w:val="en-US" w:eastAsia="en-US"/>
              </w:rPr>
            </w:pPr>
            <w:r w:rsidRPr="002B62C4">
              <w:rPr>
                <w:sz w:val="20"/>
                <w:szCs w:val="20"/>
                <w:lang w:val="en-US" w:eastAsia="en-US"/>
              </w:rPr>
              <w:t>Volume of ore processed (thousand tons)</w:t>
            </w:r>
          </w:p>
        </w:tc>
        <w:tc>
          <w:tcPr>
            <w:tcW w:w="1232" w:type="dxa"/>
            <w:tcBorders>
              <w:top w:val="single" w:sz="4" w:space="0" w:color="auto"/>
              <w:left w:val="nil"/>
              <w:bottom w:val="single" w:sz="4" w:space="0" w:color="auto"/>
              <w:right w:val="single" w:sz="4" w:space="0" w:color="auto"/>
            </w:tcBorders>
            <w:noWrap/>
            <w:vAlign w:val="center"/>
          </w:tcPr>
          <w:p w14:paraId="3F5CB948" w14:textId="77777777" w:rsidR="00CA5EF7" w:rsidRPr="002B62C4" w:rsidRDefault="00CA5EF7" w:rsidP="00DE5CBB">
            <w:pPr>
              <w:jc w:val="center"/>
              <w:rPr>
                <w:sz w:val="20"/>
                <w:szCs w:val="20"/>
                <w:lang w:eastAsia="en-US"/>
              </w:rPr>
            </w:pPr>
            <w:r w:rsidRPr="002B62C4">
              <w:rPr>
                <w:sz w:val="20"/>
                <w:szCs w:val="20"/>
                <w:lang w:eastAsia="en-US"/>
              </w:rPr>
              <w:t>6 453</w:t>
            </w:r>
          </w:p>
        </w:tc>
        <w:tc>
          <w:tcPr>
            <w:tcW w:w="1268" w:type="dxa"/>
            <w:tcBorders>
              <w:top w:val="single" w:sz="4" w:space="0" w:color="auto"/>
              <w:left w:val="nil"/>
              <w:bottom w:val="single" w:sz="4" w:space="0" w:color="auto"/>
              <w:right w:val="single" w:sz="4" w:space="0" w:color="auto"/>
            </w:tcBorders>
            <w:noWrap/>
            <w:vAlign w:val="center"/>
            <w:hideMark/>
          </w:tcPr>
          <w:p w14:paraId="633CD2C6" w14:textId="77777777" w:rsidR="00CA5EF7" w:rsidRPr="002B62C4" w:rsidRDefault="00CA5EF7" w:rsidP="00DE5CBB">
            <w:pPr>
              <w:jc w:val="center"/>
              <w:rPr>
                <w:sz w:val="20"/>
                <w:szCs w:val="20"/>
                <w:lang w:val="en-US" w:eastAsia="en-US"/>
              </w:rPr>
            </w:pPr>
            <w:r w:rsidRPr="002B62C4">
              <w:rPr>
                <w:sz w:val="20"/>
                <w:szCs w:val="20"/>
                <w:lang w:eastAsia="en-US"/>
              </w:rPr>
              <w:t>6 383</w:t>
            </w:r>
          </w:p>
        </w:tc>
      </w:tr>
      <w:tr w:rsidR="00CA5EF7" w:rsidRPr="002B62C4" w14:paraId="2F366BD8" w14:textId="77777777" w:rsidTr="00DE5CBB">
        <w:trPr>
          <w:trHeight w:val="268"/>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4D3BDB2A" w14:textId="77777777" w:rsidR="00CA5EF7" w:rsidRPr="002B62C4" w:rsidRDefault="00CA5EF7" w:rsidP="00DE5CBB">
            <w:pPr>
              <w:rPr>
                <w:sz w:val="20"/>
                <w:szCs w:val="20"/>
                <w:lang w:val="en-US" w:eastAsia="en-US"/>
              </w:rPr>
            </w:pPr>
            <w:r w:rsidRPr="002B62C4">
              <w:rPr>
                <w:sz w:val="20"/>
                <w:szCs w:val="20"/>
                <w:lang w:val="en-US" w:eastAsia="en-US"/>
              </w:rPr>
              <w:t>Average gold grade in ore fed to the mill (g/t)</w:t>
            </w:r>
          </w:p>
        </w:tc>
        <w:tc>
          <w:tcPr>
            <w:tcW w:w="1232" w:type="dxa"/>
            <w:tcBorders>
              <w:top w:val="single" w:sz="4" w:space="0" w:color="auto"/>
              <w:left w:val="nil"/>
              <w:bottom w:val="single" w:sz="4" w:space="0" w:color="auto"/>
              <w:right w:val="single" w:sz="4" w:space="0" w:color="auto"/>
            </w:tcBorders>
            <w:noWrap/>
            <w:vAlign w:val="center"/>
          </w:tcPr>
          <w:p w14:paraId="0C53AFC1" w14:textId="77777777" w:rsidR="00CA5EF7" w:rsidRPr="002B62C4" w:rsidRDefault="00CA5EF7" w:rsidP="00DE5CBB">
            <w:pPr>
              <w:jc w:val="center"/>
              <w:rPr>
                <w:sz w:val="20"/>
                <w:szCs w:val="20"/>
                <w:lang w:eastAsia="en-US"/>
              </w:rPr>
            </w:pPr>
            <w:r w:rsidRPr="002B62C4">
              <w:rPr>
                <w:sz w:val="20"/>
                <w:szCs w:val="20"/>
                <w:lang w:eastAsia="en-US"/>
              </w:rPr>
              <w:t>2,46</w:t>
            </w:r>
          </w:p>
        </w:tc>
        <w:tc>
          <w:tcPr>
            <w:tcW w:w="1268" w:type="dxa"/>
            <w:tcBorders>
              <w:top w:val="single" w:sz="4" w:space="0" w:color="auto"/>
              <w:left w:val="nil"/>
              <w:bottom w:val="single" w:sz="4" w:space="0" w:color="auto"/>
              <w:right w:val="single" w:sz="4" w:space="0" w:color="auto"/>
            </w:tcBorders>
            <w:noWrap/>
            <w:vAlign w:val="center"/>
            <w:hideMark/>
          </w:tcPr>
          <w:p w14:paraId="018A3C42" w14:textId="77777777" w:rsidR="00CA5EF7" w:rsidRPr="002B62C4" w:rsidRDefault="00CA5EF7" w:rsidP="00DE5CBB">
            <w:pPr>
              <w:jc w:val="center"/>
              <w:rPr>
                <w:sz w:val="20"/>
                <w:szCs w:val="20"/>
                <w:lang w:val="en-US" w:eastAsia="en-US"/>
              </w:rPr>
            </w:pPr>
            <w:r w:rsidRPr="002B62C4">
              <w:rPr>
                <w:sz w:val="20"/>
                <w:szCs w:val="20"/>
                <w:lang w:eastAsia="en-US"/>
              </w:rPr>
              <w:t>2,68</w:t>
            </w:r>
          </w:p>
        </w:tc>
      </w:tr>
      <w:tr w:rsidR="00CA5EF7" w:rsidRPr="002B62C4" w14:paraId="1BD753E2"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55D41C54" w14:textId="77777777" w:rsidR="00CA5EF7" w:rsidRPr="002B62C4" w:rsidRDefault="00CA5EF7" w:rsidP="00DE5CBB">
            <w:pPr>
              <w:rPr>
                <w:sz w:val="20"/>
                <w:szCs w:val="20"/>
                <w:lang w:val="en-US" w:eastAsia="en-US"/>
              </w:rPr>
            </w:pPr>
            <w:r w:rsidRPr="002B62C4">
              <w:rPr>
                <w:sz w:val="20"/>
                <w:szCs w:val="20"/>
                <w:lang w:eastAsia="en-US"/>
              </w:rPr>
              <w:t>Gold Recovery Rate (%)</w:t>
            </w:r>
          </w:p>
        </w:tc>
        <w:tc>
          <w:tcPr>
            <w:tcW w:w="1232" w:type="dxa"/>
            <w:tcBorders>
              <w:top w:val="single" w:sz="4" w:space="0" w:color="auto"/>
              <w:left w:val="nil"/>
              <w:bottom w:val="single" w:sz="4" w:space="0" w:color="auto"/>
              <w:right w:val="single" w:sz="4" w:space="0" w:color="auto"/>
            </w:tcBorders>
            <w:noWrap/>
            <w:vAlign w:val="center"/>
          </w:tcPr>
          <w:p w14:paraId="454FA635" w14:textId="77777777" w:rsidR="00CA5EF7" w:rsidRPr="002B62C4" w:rsidRDefault="00CA5EF7" w:rsidP="00DE5CBB">
            <w:pPr>
              <w:jc w:val="center"/>
              <w:rPr>
                <w:sz w:val="20"/>
                <w:szCs w:val="20"/>
                <w:lang w:val="en-US" w:eastAsia="en-US"/>
              </w:rPr>
            </w:pPr>
            <w:r w:rsidRPr="002B62C4">
              <w:rPr>
                <w:sz w:val="20"/>
                <w:szCs w:val="20"/>
                <w:lang w:eastAsia="en-US"/>
              </w:rPr>
              <w:t>76,00%</w:t>
            </w:r>
          </w:p>
        </w:tc>
        <w:tc>
          <w:tcPr>
            <w:tcW w:w="1268" w:type="dxa"/>
            <w:tcBorders>
              <w:top w:val="single" w:sz="4" w:space="0" w:color="auto"/>
              <w:left w:val="nil"/>
              <w:bottom w:val="single" w:sz="4" w:space="0" w:color="auto"/>
              <w:right w:val="single" w:sz="4" w:space="0" w:color="auto"/>
            </w:tcBorders>
            <w:noWrap/>
            <w:vAlign w:val="center"/>
            <w:hideMark/>
          </w:tcPr>
          <w:p w14:paraId="1BA81FC4" w14:textId="77777777" w:rsidR="00CA5EF7" w:rsidRPr="002B62C4" w:rsidRDefault="00CA5EF7" w:rsidP="00DE5CBB">
            <w:pPr>
              <w:jc w:val="center"/>
              <w:rPr>
                <w:sz w:val="20"/>
                <w:szCs w:val="20"/>
                <w:lang w:val="en-US" w:eastAsia="en-US"/>
              </w:rPr>
            </w:pPr>
            <w:r w:rsidRPr="002B62C4">
              <w:rPr>
                <w:sz w:val="20"/>
                <w:szCs w:val="20"/>
                <w:lang w:eastAsia="en-US"/>
              </w:rPr>
              <w:t>73,25%</w:t>
            </w:r>
          </w:p>
        </w:tc>
      </w:tr>
      <w:tr w:rsidR="00CA5EF7" w:rsidRPr="002B62C4" w14:paraId="3C4612E6" w14:textId="77777777" w:rsidTr="00DE5CBB">
        <w:trPr>
          <w:trHeight w:hRule="exact" w:val="86"/>
        </w:trPr>
        <w:tc>
          <w:tcPr>
            <w:tcW w:w="7223" w:type="dxa"/>
            <w:tcBorders>
              <w:top w:val="single" w:sz="4" w:space="0" w:color="auto"/>
              <w:left w:val="single" w:sz="4" w:space="0" w:color="auto"/>
              <w:bottom w:val="single" w:sz="4" w:space="0" w:color="auto"/>
              <w:right w:val="single" w:sz="4" w:space="0" w:color="auto"/>
            </w:tcBorders>
            <w:noWrap/>
            <w:vAlign w:val="bottom"/>
          </w:tcPr>
          <w:p w14:paraId="2EB9C8FD" w14:textId="77777777" w:rsidR="00CA5EF7" w:rsidRPr="002B62C4" w:rsidRDefault="00CA5EF7" w:rsidP="00DE5CBB">
            <w:pPr>
              <w:rPr>
                <w:sz w:val="20"/>
                <w:szCs w:val="20"/>
                <w:lang w:eastAsia="en-US"/>
              </w:rPr>
            </w:pPr>
          </w:p>
        </w:tc>
        <w:tc>
          <w:tcPr>
            <w:tcW w:w="1232" w:type="dxa"/>
            <w:tcBorders>
              <w:top w:val="single" w:sz="4" w:space="0" w:color="auto"/>
              <w:left w:val="nil"/>
              <w:bottom w:val="single" w:sz="4" w:space="0" w:color="auto"/>
              <w:right w:val="single" w:sz="4" w:space="0" w:color="auto"/>
            </w:tcBorders>
            <w:noWrap/>
            <w:vAlign w:val="center"/>
          </w:tcPr>
          <w:p w14:paraId="28605B1E" w14:textId="77777777" w:rsidR="00CA5EF7" w:rsidRPr="002B62C4" w:rsidRDefault="00CA5EF7" w:rsidP="00DE5CBB">
            <w:pPr>
              <w:jc w:val="center"/>
              <w:rPr>
                <w:sz w:val="20"/>
                <w:szCs w:val="20"/>
                <w:lang w:val="en-US" w:eastAsia="en-US"/>
              </w:rPr>
            </w:pPr>
          </w:p>
        </w:tc>
        <w:tc>
          <w:tcPr>
            <w:tcW w:w="1268" w:type="dxa"/>
            <w:tcBorders>
              <w:top w:val="single" w:sz="4" w:space="0" w:color="auto"/>
              <w:left w:val="nil"/>
              <w:bottom w:val="single" w:sz="4" w:space="0" w:color="auto"/>
              <w:right w:val="single" w:sz="4" w:space="0" w:color="auto"/>
            </w:tcBorders>
            <w:noWrap/>
            <w:vAlign w:val="center"/>
          </w:tcPr>
          <w:p w14:paraId="13945323" w14:textId="77777777" w:rsidR="00CA5EF7" w:rsidRPr="002B62C4" w:rsidRDefault="00CA5EF7" w:rsidP="00DE5CBB">
            <w:pPr>
              <w:jc w:val="center"/>
              <w:rPr>
                <w:sz w:val="20"/>
                <w:szCs w:val="20"/>
                <w:lang w:val="en-US" w:eastAsia="en-US"/>
              </w:rPr>
            </w:pPr>
          </w:p>
        </w:tc>
      </w:tr>
      <w:tr w:rsidR="00CA5EF7" w:rsidRPr="002B62C4" w14:paraId="338AEBB5"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674FC955" w14:textId="77777777" w:rsidR="00CA5EF7" w:rsidRPr="002B62C4" w:rsidRDefault="00CA5EF7" w:rsidP="00DE5CBB">
            <w:pPr>
              <w:rPr>
                <w:sz w:val="20"/>
                <w:szCs w:val="20"/>
                <w:lang w:val="en-US" w:eastAsia="en-US"/>
              </w:rPr>
            </w:pPr>
            <w:r w:rsidRPr="002B62C4">
              <w:rPr>
                <w:sz w:val="20"/>
                <w:szCs w:val="20"/>
                <w:lang w:val="en-US" w:eastAsia="en-US"/>
              </w:rPr>
              <w:t>Total mining costs (in USD per tonne)</w:t>
            </w:r>
          </w:p>
        </w:tc>
        <w:tc>
          <w:tcPr>
            <w:tcW w:w="1232" w:type="dxa"/>
            <w:tcBorders>
              <w:top w:val="single" w:sz="4" w:space="0" w:color="auto"/>
              <w:left w:val="nil"/>
              <w:bottom w:val="single" w:sz="4" w:space="0" w:color="auto"/>
              <w:right w:val="single" w:sz="4" w:space="0" w:color="auto"/>
            </w:tcBorders>
            <w:noWrap/>
            <w:vAlign w:val="center"/>
          </w:tcPr>
          <w:p w14:paraId="7AEBC287" w14:textId="77777777" w:rsidR="00CA5EF7" w:rsidRPr="002B62C4" w:rsidRDefault="00CA5EF7" w:rsidP="00DE5CBB">
            <w:pPr>
              <w:jc w:val="center"/>
              <w:rPr>
                <w:sz w:val="20"/>
                <w:szCs w:val="20"/>
                <w:lang w:eastAsia="en-US"/>
              </w:rPr>
            </w:pPr>
            <w:r w:rsidRPr="002B62C4">
              <w:rPr>
                <w:sz w:val="20"/>
                <w:szCs w:val="20"/>
                <w:lang w:eastAsia="en-US"/>
              </w:rPr>
              <w:t>1,27</w:t>
            </w:r>
          </w:p>
        </w:tc>
        <w:tc>
          <w:tcPr>
            <w:tcW w:w="1268" w:type="dxa"/>
            <w:tcBorders>
              <w:top w:val="single" w:sz="4" w:space="0" w:color="auto"/>
              <w:left w:val="nil"/>
              <w:bottom w:val="single" w:sz="4" w:space="0" w:color="auto"/>
              <w:right w:val="single" w:sz="4" w:space="0" w:color="auto"/>
            </w:tcBorders>
            <w:noWrap/>
            <w:vAlign w:val="center"/>
            <w:hideMark/>
          </w:tcPr>
          <w:p w14:paraId="4192B086" w14:textId="77777777" w:rsidR="00CA5EF7" w:rsidRPr="002B62C4" w:rsidRDefault="00CA5EF7" w:rsidP="00DE5CBB">
            <w:pPr>
              <w:jc w:val="center"/>
              <w:rPr>
                <w:sz w:val="20"/>
                <w:szCs w:val="20"/>
                <w:lang w:val="en-US" w:eastAsia="en-US"/>
              </w:rPr>
            </w:pPr>
            <w:r w:rsidRPr="002B62C4">
              <w:rPr>
                <w:sz w:val="20"/>
                <w:szCs w:val="20"/>
                <w:lang w:eastAsia="en-US"/>
              </w:rPr>
              <w:t>1,26</w:t>
            </w:r>
          </w:p>
        </w:tc>
      </w:tr>
      <w:tr w:rsidR="00CA5EF7" w:rsidRPr="002B62C4" w14:paraId="2DF26D18"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73814F39" w14:textId="0D530A94" w:rsidR="00CA5EF7" w:rsidRPr="002B62C4" w:rsidRDefault="00CA5EF7" w:rsidP="00DE5CBB">
            <w:pPr>
              <w:rPr>
                <w:sz w:val="20"/>
                <w:szCs w:val="20"/>
                <w:lang w:val="en-US" w:eastAsia="en-US"/>
              </w:rPr>
            </w:pPr>
            <w:r w:rsidRPr="002B62C4">
              <w:rPr>
                <w:sz w:val="20"/>
                <w:szCs w:val="20"/>
                <w:lang w:val="en-US" w:eastAsia="en-US"/>
              </w:rPr>
              <w:t xml:space="preserve">Total </w:t>
            </w:r>
            <w:r w:rsidR="00EF7ADC" w:rsidRPr="002B62C4">
              <w:rPr>
                <w:sz w:val="20"/>
                <w:szCs w:val="20"/>
                <w:lang w:val="en-US" w:eastAsia="en-US"/>
              </w:rPr>
              <w:t>mill</w:t>
            </w:r>
            <w:r w:rsidRPr="002B62C4">
              <w:rPr>
                <w:sz w:val="20"/>
                <w:szCs w:val="20"/>
                <w:lang w:val="en-US" w:eastAsia="en-US"/>
              </w:rPr>
              <w:t xml:space="preserve"> processing costs (in USD per tonne)</w:t>
            </w:r>
          </w:p>
        </w:tc>
        <w:tc>
          <w:tcPr>
            <w:tcW w:w="1232" w:type="dxa"/>
            <w:tcBorders>
              <w:top w:val="single" w:sz="4" w:space="0" w:color="auto"/>
              <w:left w:val="nil"/>
              <w:bottom w:val="single" w:sz="4" w:space="0" w:color="auto"/>
              <w:right w:val="single" w:sz="4" w:space="0" w:color="auto"/>
            </w:tcBorders>
            <w:noWrap/>
            <w:vAlign w:val="center"/>
          </w:tcPr>
          <w:p w14:paraId="42C9410E" w14:textId="77777777" w:rsidR="00CA5EF7" w:rsidRPr="002B62C4" w:rsidRDefault="00CA5EF7" w:rsidP="00DE5CBB">
            <w:pPr>
              <w:jc w:val="center"/>
              <w:rPr>
                <w:sz w:val="20"/>
                <w:szCs w:val="20"/>
                <w:lang w:eastAsia="en-US"/>
              </w:rPr>
            </w:pPr>
            <w:r w:rsidRPr="002B62C4">
              <w:rPr>
                <w:sz w:val="20"/>
                <w:szCs w:val="20"/>
                <w:lang w:eastAsia="en-US"/>
              </w:rPr>
              <w:t>16,23</w:t>
            </w:r>
          </w:p>
        </w:tc>
        <w:tc>
          <w:tcPr>
            <w:tcW w:w="1268" w:type="dxa"/>
            <w:tcBorders>
              <w:top w:val="single" w:sz="4" w:space="0" w:color="auto"/>
              <w:left w:val="nil"/>
              <w:bottom w:val="single" w:sz="4" w:space="0" w:color="auto"/>
              <w:right w:val="single" w:sz="4" w:space="0" w:color="auto"/>
            </w:tcBorders>
            <w:noWrap/>
            <w:vAlign w:val="center"/>
            <w:hideMark/>
          </w:tcPr>
          <w:p w14:paraId="3DD19FF6" w14:textId="77777777" w:rsidR="00CA5EF7" w:rsidRPr="002B62C4" w:rsidRDefault="00CA5EF7" w:rsidP="00DE5CBB">
            <w:pPr>
              <w:jc w:val="center"/>
              <w:rPr>
                <w:sz w:val="20"/>
                <w:szCs w:val="20"/>
                <w:lang w:val="en-US" w:eastAsia="en-US"/>
              </w:rPr>
            </w:pPr>
            <w:r w:rsidRPr="002B62C4">
              <w:rPr>
                <w:sz w:val="20"/>
                <w:szCs w:val="20"/>
                <w:lang w:eastAsia="en-US"/>
              </w:rPr>
              <w:t>16,82</w:t>
            </w:r>
          </w:p>
        </w:tc>
      </w:tr>
      <w:tr w:rsidR="00CA5EF7" w:rsidRPr="002B62C4" w14:paraId="03A22D66" w14:textId="77777777" w:rsidTr="00DE5CBB">
        <w:trPr>
          <w:trHeight w:hRule="exact" w:val="86"/>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48500B8F" w14:textId="77777777" w:rsidR="00CA5EF7" w:rsidRPr="002B62C4" w:rsidRDefault="00CA5EF7" w:rsidP="00DE5CBB">
            <w:pPr>
              <w:rPr>
                <w:sz w:val="20"/>
                <w:szCs w:val="20"/>
                <w:lang w:val="en-US" w:eastAsia="en-US"/>
              </w:rPr>
            </w:pPr>
            <w:r w:rsidRPr="002B62C4">
              <w:rPr>
                <w:sz w:val="20"/>
                <w:szCs w:val="20"/>
                <w:lang w:eastAsia="en-US"/>
              </w:rPr>
              <w:t> </w:t>
            </w:r>
          </w:p>
        </w:tc>
        <w:tc>
          <w:tcPr>
            <w:tcW w:w="1232" w:type="dxa"/>
            <w:tcBorders>
              <w:top w:val="single" w:sz="4" w:space="0" w:color="auto"/>
              <w:left w:val="nil"/>
              <w:bottom w:val="single" w:sz="4" w:space="0" w:color="auto"/>
              <w:right w:val="single" w:sz="4" w:space="0" w:color="auto"/>
            </w:tcBorders>
            <w:noWrap/>
            <w:vAlign w:val="center"/>
          </w:tcPr>
          <w:p w14:paraId="41D83E9F" w14:textId="77777777" w:rsidR="00CA5EF7" w:rsidRPr="002B62C4" w:rsidRDefault="00CA5EF7" w:rsidP="00DE5CBB">
            <w:pPr>
              <w:jc w:val="center"/>
              <w:rPr>
                <w:sz w:val="20"/>
                <w:szCs w:val="20"/>
                <w:lang w:val="en-US" w:eastAsia="en-US"/>
              </w:rPr>
            </w:pPr>
          </w:p>
        </w:tc>
        <w:tc>
          <w:tcPr>
            <w:tcW w:w="1268" w:type="dxa"/>
            <w:tcBorders>
              <w:top w:val="single" w:sz="4" w:space="0" w:color="auto"/>
              <w:left w:val="nil"/>
              <w:bottom w:val="single" w:sz="4" w:space="0" w:color="auto"/>
              <w:right w:val="single" w:sz="4" w:space="0" w:color="auto"/>
            </w:tcBorders>
            <w:noWrap/>
            <w:vAlign w:val="center"/>
            <w:hideMark/>
          </w:tcPr>
          <w:p w14:paraId="1FE73327" w14:textId="77777777" w:rsidR="00CA5EF7" w:rsidRPr="002B62C4" w:rsidRDefault="00CA5EF7" w:rsidP="00DE5CBB">
            <w:pPr>
              <w:jc w:val="center"/>
              <w:rPr>
                <w:sz w:val="20"/>
                <w:szCs w:val="20"/>
                <w:lang w:val="en-US" w:eastAsia="en-US"/>
              </w:rPr>
            </w:pPr>
          </w:p>
        </w:tc>
      </w:tr>
      <w:tr w:rsidR="00CA5EF7" w:rsidRPr="002B62C4" w14:paraId="2A9800E1"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7FB44771" w14:textId="77777777" w:rsidR="00CA5EF7" w:rsidRPr="002B62C4" w:rsidRDefault="00CA5EF7" w:rsidP="00DE5CBB">
            <w:pPr>
              <w:rPr>
                <w:sz w:val="20"/>
                <w:szCs w:val="20"/>
                <w:lang w:val="en-US" w:eastAsia="en-US"/>
              </w:rPr>
            </w:pPr>
            <w:r w:rsidRPr="002B62C4">
              <w:rPr>
                <w:sz w:val="20"/>
                <w:szCs w:val="20"/>
                <w:lang w:eastAsia="en-US"/>
              </w:rPr>
              <w:t>Gold produced (ounces)</w:t>
            </w:r>
          </w:p>
        </w:tc>
        <w:tc>
          <w:tcPr>
            <w:tcW w:w="1232" w:type="dxa"/>
            <w:tcBorders>
              <w:top w:val="single" w:sz="4" w:space="0" w:color="auto"/>
              <w:left w:val="nil"/>
              <w:bottom w:val="single" w:sz="4" w:space="0" w:color="auto"/>
              <w:right w:val="single" w:sz="4" w:space="0" w:color="auto"/>
            </w:tcBorders>
            <w:noWrap/>
            <w:vAlign w:val="center"/>
          </w:tcPr>
          <w:p w14:paraId="4225AC64" w14:textId="77777777" w:rsidR="00CA5EF7" w:rsidRPr="002B62C4" w:rsidRDefault="00CA5EF7" w:rsidP="00DE5CBB">
            <w:pPr>
              <w:jc w:val="center"/>
              <w:rPr>
                <w:sz w:val="20"/>
                <w:szCs w:val="20"/>
                <w:lang w:val="en-US" w:eastAsia="en-US"/>
              </w:rPr>
            </w:pPr>
            <w:r w:rsidRPr="002B62C4">
              <w:rPr>
                <w:sz w:val="20"/>
                <w:szCs w:val="20"/>
                <w:lang w:eastAsia="en-US"/>
              </w:rPr>
              <w:t>388 418</w:t>
            </w:r>
          </w:p>
        </w:tc>
        <w:tc>
          <w:tcPr>
            <w:tcW w:w="1268" w:type="dxa"/>
            <w:tcBorders>
              <w:top w:val="single" w:sz="4" w:space="0" w:color="auto"/>
              <w:left w:val="nil"/>
              <w:bottom w:val="single" w:sz="4" w:space="0" w:color="auto"/>
              <w:right w:val="single" w:sz="4" w:space="0" w:color="auto"/>
            </w:tcBorders>
            <w:noWrap/>
            <w:vAlign w:val="center"/>
            <w:hideMark/>
          </w:tcPr>
          <w:p w14:paraId="3A53595C" w14:textId="77777777" w:rsidR="00CA5EF7" w:rsidRPr="002B62C4" w:rsidRDefault="00CA5EF7" w:rsidP="00DE5CBB">
            <w:pPr>
              <w:jc w:val="center"/>
              <w:rPr>
                <w:sz w:val="20"/>
                <w:szCs w:val="20"/>
                <w:lang w:val="en-US" w:eastAsia="en-US"/>
              </w:rPr>
            </w:pPr>
            <w:r w:rsidRPr="002B62C4">
              <w:rPr>
                <w:sz w:val="20"/>
                <w:szCs w:val="20"/>
                <w:lang w:eastAsia="en-US"/>
              </w:rPr>
              <w:t>403 558</w:t>
            </w:r>
          </w:p>
        </w:tc>
      </w:tr>
      <w:tr w:rsidR="00CA5EF7" w:rsidRPr="002B62C4" w14:paraId="7769B1D4"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24668524" w14:textId="77777777" w:rsidR="00CA5EF7" w:rsidRPr="002B62C4" w:rsidRDefault="00CA5EF7" w:rsidP="00DE5CBB">
            <w:pPr>
              <w:rPr>
                <w:sz w:val="20"/>
                <w:szCs w:val="20"/>
                <w:lang w:val="en-US" w:eastAsia="en-US"/>
              </w:rPr>
            </w:pPr>
            <w:r w:rsidRPr="002B62C4">
              <w:rPr>
                <w:sz w:val="20"/>
                <w:szCs w:val="20"/>
                <w:lang w:eastAsia="en-US"/>
              </w:rPr>
              <w:t>Gold produced (in kilograms)</w:t>
            </w:r>
          </w:p>
        </w:tc>
        <w:tc>
          <w:tcPr>
            <w:tcW w:w="1232" w:type="dxa"/>
            <w:tcBorders>
              <w:top w:val="single" w:sz="4" w:space="0" w:color="auto"/>
              <w:left w:val="nil"/>
              <w:bottom w:val="single" w:sz="4" w:space="0" w:color="auto"/>
              <w:right w:val="single" w:sz="4" w:space="0" w:color="auto"/>
            </w:tcBorders>
            <w:noWrap/>
            <w:vAlign w:val="center"/>
          </w:tcPr>
          <w:p w14:paraId="0C0E81E9" w14:textId="77777777" w:rsidR="00CA5EF7" w:rsidRPr="002B62C4" w:rsidRDefault="00CA5EF7" w:rsidP="00DE5CBB">
            <w:pPr>
              <w:jc w:val="center"/>
              <w:rPr>
                <w:sz w:val="20"/>
                <w:szCs w:val="20"/>
                <w:lang w:eastAsia="en-US"/>
              </w:rPr>
            </w:pPr>
            <w:r w:rsidRPr="002B62C4">
              <w:rPr>
                <w:sz w:val="20"/>
                <w:szCs w:val="20"/>
                <w:lang w:eastAsia="en-US"/>
              </w:rPr>
              <w:t>12 081</w:t>
            </w:r>
          </w:p>
        </w:tc>
        <w:tc>
          <w:tcPr>
            <w:tcW w:w="1268" w:type="dxa"/>
            <w:tcBorders>
              <w:top w:val="single" w:sz="4" w:space="0" w:color="auto"/>
              <w:left w:val="nil"/>
              <w:bottom w:val="single" w:sz="4" w:space="0" w:color="auto"/>
              <w:right w:val="single" w:sz="4" w:space="0" w:color="auto"/>
            </w:tcBorders>
            <w:noWrap/>
            <w:vAlign w:val="center"/>
            <w:hideMark/>
          </w:tcPr>
          <w:p w14:paraId="239A743B" w14:textId="77777777" w:rsidR="00CA5EF7" w:rsidRPr="002B62C4" w:rsidRDefault="00CA5EF7" w:rsidP="00DE5CBB">
            <w:pPr>
              <w:jc w:val="center"/>
              <w:rPr>
                <w:sz w:val="20"/>
                <w:szCs w:val="20"/>
                <w:lang w:val="en-US" w:eastAsia="en-US"/>
              </w:rPr>
            </w:pPr>
            <w:r w:rsidRPr="002B62C4">
              <w:rPr>
                <w:sz w:val="20"/>
                <w:szCs w:val="20"/>
                <w:lang w:eastAsia="en-US"/>
              </w:rPr>
              <w:t>12 552</w:t>
            </w:r>
          </w:p>
        </w:tc>
      </w:tr>
      <w:tr w:rsidR="00CA5EF7" w:rsidRPr="002B62C4" w14:paraId="3D631334" w14:textId="77777777" w:rsidTr="00DE5CBB">
        <w:trPr>
          <w:trHeight w:val="276"/>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2CD80D46" w14:textId="77777777" w:rsidR="00CA5EF7" w:rsidRPr="002B62C4" w:rsidRDefault="00CA5EF7" w:rsidP="00DE5CBB">
            <w:pPr>
              <w:rPr>
                <w:sz w:val="20"/>
                <w:szCs w:val="20"/>
                <w:lang w:val="en-US" w:eastAsia="en-US"/>
              </w:rPr>
            </w:pPr>
            <w:r w:rsidRPr="002B62C4">
              <w:rPr>
                <w:sz w:val="20"/>
                <w:szCs w:val="20"/>
                <w:lang w:eastAsia="en-US"/>
              </w:rPr>
              <w:t>Gold sold (ounces)</w:t>
            </w:r>
          </w:p>
        </w:tc>
        <w:tc>
          <w:tcPr>
            <w:tcW w:w="1232" w:type="dxa"/>
            <w:tcBorders>
              <w:top w:val="single" w:sz="4" w:space="0" w:color="auto"/>
              <w:left w:val="nil"/>
              <w:bottom w:val="single" w:sz="4" w:space="0" w:color="auto"/>
              <w:right w:val="single" w:sz="4" w:space="0" w:color="auto"/>
            </w:tcBorders>
            <w:noWrap/>
            <w:vAlign w:val="center"/>
          </w:tcPr>
          <w:p w14:paraId="7782089F" w14:textId="77777777" w:rsidR="00CA5EF7" w:rsidRPr="002B62C4" w:rsidRDefault="00CA5EF7" w:rsidP="00DE5CBB">
            <w:pPr>
              <w:jc w:val="center"/>
              <w:rPr>
                <w:sz w:val="20"/>
                <w:szCs w:val="20"/>
                <w:lang w:eastAsia="en-US"/>
              </w:rPr>
            </w:pPr>
            <w:r w:rsidRPr="002B62C4">
              <w:rPr>
                <w:sz w:val="20"/>
                <w:szCs w:val="20"/>
                <w:lang w:eastAsia="en-US"/>
              </w:rPr>
              <w:t>386 616</w:t>
            </w:r>
          </w:p>
        </w:tc>
        <w:tc>
          <w:tcPr>
            <w:tcW w:w="1268" w:type="dxa"/>
            <w:tcBorders>
              <w:top w:val="single" w:sz="4" w:space="0" w:color="auto"/>
              <w:left w:val="nil"/>
              <w:bottom w:val="single" w:sz="4" w:space="0" w:color="auto"/>
              <w:right w:val="single" w:sz="4" w:space="0" w:color="auto"/>
            </w:tcBorders>
            <w:noWrap/>
            <w:vAlign w:val="center"/>
            <w:hideMark/>
          </w:tcPr>
          <w:p w14:paraId="5291C5EE" w14:textId="77777777" w:rsidR="00CA5EF7" w:rsidRPr="002B62C4" w:rsidRDefault="00CA5EF7" w:rsidP="00DE5CBB">
            <w:pPr>
              <w:jc w:val="center"/>
              <w:rPr>
                <w:sz w:val="20"/>
                <w:szCs w:val="20"/>
                <w:lang w:val="en-US" w:eastAsia="en-US"/>
              </w:rPr>
            </w:pPr>
            <w:r w:rsidRPr="002B62C4">
              <w:rPr>
                <w:sz w:val="20"/>
                <w:szCs w:val="20"/>
                <w:lang w:eastAsia="en-US"/>
              </w:rPr>
              <w:t>402 092</w:t>
            </w:r>
          </w:p>
        </w:tc>
      </w:tr>
      <w:tr w:rsidR="00CA5EF7" w:rsidRPr="002B62C4" w14:paraId="6A531F3A" w14:textId="77777777" w:rsidTr="00DE5CBB">
        <w:trPr>
          <w:trHeight w:val="276"/>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1CE48045" w14:textId="77777777" w:rsidR="00CA5EF7" w:rsidRPr="002B62C4" w:rsidRDefault="00CA5EF7" w:rsidP="00DE5CBB">
            <w:pPr>
              <w:rPr>
                <w:sz w:val="20"/>
                <w:szCs w:val="20"/>
                <w:lang w:val="en-US" w:eastAsia="en-US"/>
              </w:rPr>
            </w:pPr>
            <w:r w:rsidRPr="002B62C4">
              <w:rPr>
                <w:sz w:val="20"/>
                <w:szCs w:val="20"/>
                <w:lang w:eastAsia="en-US"/>
              </w:rPr>
              <w:t>Gold sold (in kilograms)</w:t>
            </w:r>
          </w:p>
        </w:tc>
        <w:tc>
          <w:tcPr>
            <w:tcW w:w="1232" w:type="dxa"/>
            <w:tcBorders>
              <w:top w:val="single" w:sz="4" w:space="0" w:color="auto"/>
              <w:left w:val="nil"/>
              <w:bottom w:val="single" w:sz="4" w:space="0" w:color="auto"/>
              <w:right w:val="single" w:sz="4" w:space="0" w:color="auto"/>
            </w:tcBorders>
            <w:noWrap/>
            <w:vAlign w:val="center"/>
          </w:tcPr>
          <w:p w14:paraId="05198A65" w14:textId="77777777" w:rsidR="00CA5EF7" w:rsidRPr="002B62C4" w:rsidRDefault="00CA5EF7" w:rsidP="00DE5CBB">
            <w:pPr>
              <w:jc w:val="center"/>
              <w:rPr>
                <w:sz w:val="20"/>
                <w:szCs w:val="20"/>
                <w:lang w:val="en-US" w:eastAsia="en-US"/>
              </w:rPr>
            </w:pPr>
            <w:r w:rsidRPr="002B62C4">
              <w:rPr>
                <w:sz w:val="20"/>
                <w:szCs w:val="20"/>
                <w:lang w:eastAsia="en-US"/>
              </w:rPr>
              <w:t>12 025</w:t>
            </w:r>
          </w:p>
        </w:tc>
        <w:tc>
          <w:tcPr>
            <w:tcW w:w="1268" w:type="dxa"/>
            <w:tcBorders>
              <w:top w:val="single" w:sz="4" w:space="0" w:color="auto"/>
              <w:left w:val="nil"/>
              <w:bottom w:val="single" w:sz="4" w:space="0" w:color="auto"/>
              <w:right w:val="single" w:sz="4" w:space="0" w:color="auto"/>
            </w:tcBorders>
            <w:noWrap/>
            <w:vAlign w:val="center"/>
            <w:hideMark/>
          </w:tcPr>
          <w:p w14:paraId="3FDF086D" w14:textId="77777777" w:rsidR="00CA5EF7" w:rsidRPr="002B62C4" w:rsidRDefault="00CA5EF7" w:rsidP="00DE5CBB">
            <w:pPr>
              <w:jc w:val="center"/>
              <w:rPr>
                <w:sz w:val="20"/>
                <w:szCs w:val="20"/>
                <w:lang w:val="en-US" w:eastAsia="en-US"/>
              </w:rPr>
            </w:pPr>
            <w:r w:rsidRPr="002B62C4">
              <w:rPr>
                <w:sz w:val="20"/>
                <w:szCs w:val="20"/>
                <w:lang w:eastAsia="en-US"/>
              </w:rPr>
              <w:t>12 506</w:t>
            </w:r>
          </w:p>
        </w:tc>
      </w:tr>
      <w:tr w:rsidR="00CA5EF7" w:rsidRPr="002B62C4" w14:paraId="33EFFF83" w14:textId="77777777" w:rsidTr="00DE5CBB">
        <w:trPr>
          <w:trHeight w:val="275"/>
        </w:trPr>
        <w:tc>
          <w:tcPr>
            <w:tcW w:w="7223" w:type="dxa"/>
            <w:tcBorders>
              <w:top w:val="single" w:sz="4" w:space="0" w:color="auto"/>
              <w:left w:val="single" w:sz="4" w:space="0" w:color="auto"/>
              <w:bottom w:val="single" w:sz="4" w:space="0" w:color="auto"/>
              <w:right w:val="single" w:sz="4" w:space="0" w:color="auto"/>
            </w:tcBorders>
            <w:noWrap/>
            <w:vAlign w:val="bottom"/>
            <w:hideMark/>
          </w:tcPr>
          <w:p w14:paraId="11E1E7EA" w14:textId="3B1BED1C" w:rsidR="00CA5EF7" w:rsidRPr="002B62C4" w:rsidRDefault="00CA5EF7" w:rsidP="00DE5CBB">
            <w:pPr>
              <w:rPr>
                <w:sz w:val="20"/>
                <w:szCs w:val="20"/>
                <w:lang w:val="en-US" w:eastAsia="en-US"/>
              </w:rPr>
            </w:pPr>
            <w:r w:rsidRPr="002B62C4">
              <w:rPr>
                <w:sz w:val="20"/>
                <w:szCs w:val="20"/>
                <w:lang w:val="en-US" w:eastAsia="en-US"/>
              </w:rPr>
              <w:t xml:space="preserve">Average </w:t>
            </w:r>
            <w:r w:rsidR="00096494" w:rsidRPr="002B62C4">
              <w:rPr>
                <w:sz w:val="20"/>
                <w:szCs w:val="20"/>
                <w:lang w:val="en-US" w:eastAsia="en-US"/>
              </w:rPr>
              <w:t xml:space="preserve">sales </w:t>
            </w:r>
            <w:r w:rsidRPr="002B62C4">
              <w:rPr>
                <w:sz w:val="20"/>
                <w:szCs w:val="20"/>
                <w:lang w:val="en-US" w:eastAsia="en-US"/>
              </w:rPr>
              <w:t>price (in USD per ounce)</w:t>
            </w:r>
          </w:p>
        </w:tc>
        <w:tc>
          <w:tcPr>
            <w:tcW w:w="1232" w:type="dxa"/>
            <w:tcBorders>
              <w:top w:val="single" w:sz="4" w:space="0" w:color="auto"/>
              <w:left w:val="nil"/>
              <w:bottom w:val="single" w:sz="4" w:space="0" w:color="auto"/>
              <w:right w:val="single" w:sz="4" w:space="0" w:color="auto"/>
            </w:tcBorders>
            <w:noWrap/>
            <w:vAlign w:val="center"/>
          </w:tcPr>
          <w:p w14:paraId="228AA871" w14:textId="77777777" w:rsidR="00CA5EF7" w:rsidRPr="002B62C4" w:rsidRDefault="00CA5EF7" w:rsidP="00DE5CBB">
            <w:pPr>
              <w:jc w:val="center"/>
              <w:rPr>
                <w:sz w:val="20"/>
                <w:szCs w:val="20"/>
                <w:lang w:val="en-US" w:eastAsia="en-US"/>
              </w:rPr>
            </w:pPr>
            <w:r w:rsidRPr="002B62C4">
              <w:rPr>
                <w:sz w:val="20"/>
                <w:szCs w:val="20"/>
                <w:lang w:eastAsia="en-US"/>
              </w:rPr>
              <w:t>$3 711</w:t>
            </w:r>
          </w:p>
        </w:tc>
        <w:tc>
          <w:tcPr>
            <w:tcW w:w="1268" w:type="dxa"/>
            <w:tcBorders>
              <w:top w:val="single" w:sz="4" w:space="0" w:color="auto"/>
              <w:left w:val="nil"/>
              <w:bottom w:val="single" w:sz="4" w:space="0" w:color="auto"/>
              <w:right w:val="single" w:sz="4" w:space="0" w:color="auto"/>
            </w:tcBorders>
            <w:noWrap/>
            <w:vAlign w:val="center"/>
            <w:hideMark/>
          </w:tcPr>
          <w:p w14:paraId="3C6CC5E0" w14:textId="77777777" w:rsidR="00CA5EF7" w:rsidRPr="002B62C4" w:rsidRDefault="00CA5EF7" w:rsidP="00DE5CBB">
            <w:pPr>
              <w:jc w:val="center"/>
              <w:rPr>
                <w:sz w:val="20"/>
                <w:szCs w:val="20"/>
                <w:lang w:val="en-US" w:eastAsia="en-US"/>
              </w:rPr>
            </w:pPr>
            <w:r w:rsidRPr="002B62C4">
              <w:rPr>
                <w:sz w:val="20"/>
                <w:szCs w:val="20"/>
                <w:lang w:eastAsia="en-US"/>
              </w:rPr>
              <w:t>$2 460</w:t>
            </w:r>
          </w:p>
        </w:tc>
      </w:tr>
    </w:tbl>
    <w:p w14:paraId="192A15F7" w14:textId="77777777" w:rsidR="00CA5EF7" w:rsidRPr="002B62C4" w:rsidRDefault="00CA5EF7" w:rsidP="00CA5EF7">
      <w:pPr>
        <w:spacing w:after="160" w:line="259" w:lineRule="auto"/>
        <w:rPr>
          <w:b/>
        </w:rPr>
      </w:pPr>
      <w:r w:rsidRPr="002B62C4">
        <w:rPr>
          <w:b/>
          <w:bCs/>
        </w:rPr>
        <w:br w:type="page"/>
      </w:r>
      <w:r w:rsidRPr="002B62C4">
        <w:rPr>
          <w:b/>
        </w:rPr>
        <w:lastRenderedPageBreak/>
        <w:t>Production Activities</w:t>
      </w:r>
    </w:p>
    <w:p w14:paraId="7E99623E" w14:textId="7D00BEE3" w:rsidR="00CA5EF7" w:rsidRPr="002B62C4" w:rsidRDefault="00CA5EF7" w:rsidP="00CA5EF7">
      <w:pPr>
        <w:jc w:val="both"/>
        <w:rPr>
          <w:lang w:val="en-US"/>
        </w:rPr>
      </w:pPr>
      <w:r w:rsidRPr="002B62C4">
        <w:rPr>
          <w:lang w:val="en-US"/>
        </w:rPr>
        <w:t xml:space="preserve">Gold production for 2025, taking into account the processing of stocks of previously mined ore, amounted to 388,418 ounces or 12,081 kg of gold. </w:t>
      </w:r>
    </w:p>
    <w:p w14:paraId="5D5AE998" w14:textId="77777777" w:rsidR="00CA5EF7" w:rsidRPr="002B62C4" w:rsidRDefault="00CA5EF7" w:rsidP="00CA5EF7">
      <w:pPr>
        <w:jc w:val="both"/>
        <w:rPr>
          <w:lang w:val="en-US"/>
        </w:rPr>
      </w:pPr>
      <w:r w:rsidRPr="002B62C4">
        <w:rPr>
          <w:lang w:val="en-US"/>
        </w:rPr>
        <w:t>In 2025, the gold grade of ore supplied to the mill from warehouses with different gold grades averaged 2.46 g/t with a gold recovery rate of 76.0%. In 2025, in accordance with the Special Mining Operations Project for 2025, work at the Kumtor mine was carried out at the Central and South-West open pits. The volume of mining operations at the Kumtor mine in 2025 amounted to 182.8 million tons.</w:t>
      </w:r>
    </w:p>
    <w:p w14:paraId="03C05CD7" w14:textId="77777777" w:rsidR="00CA5EF7" w:rsidRPr="002B62C4" w:rsidRDefault="00CA5EF7" w:rsidP="00CA5EF7">
      <w:pPr>
        <w:pStyle w:val="ListParagraph"/>
        <w:spacing w:after="120"/>
        <w:ind w:left="0"/>
        <w:jc w:val="both"/>
        <w:rPr>
          <w:rFonts w:ascii="Times New Roman" w:eastAsia="Times New Roman" w:hAnsi="Times New Roman" w:cs="Times New Roman"/>
          <w:sz w:val="24"/>
          <w:szCs w:val="24"/>
          <w:lang w:val="en-US"/>
        </w:rPr>
      </w:pPr>
    </w:p>
    <w:p w14:paraId="05B657CF" w14:textId="77777777" w:rsidR="00CA5EF7" w:rsidRPr="002B62C4" w:rsidRDefault="00CA5EF7" w:rsidP="00CA5EF7">
      <w:pPr>
        <w:pStyle w:val="ListParagraph"/>
        <w:spacing w:after="120" w:line="240" w:lineRule="auto"/>
        <w:ind w:left="0"/>
        <w:jc w:val="both"/>
        <w:rPr>
          <w:rFonts w:ascii="Times New Roman" w:eastAsia="Times New Roman" w:hAnsi="Times New Roman" w:cs="Times New Roman"/>
          <w:b/>
          <w:bCs/>
          <w:sz w:val="24"/>
          <w:szCs w:val="24"/>
          <w:lang w:val="en-US"/>
        </w:rPr>
      </w:pPr>
    </w:p>
    <w:p w14:paraId="3F53606A" w14:textId="77777777" w:rsidR="00CA5EF7" w:rsidRPr="002B62C4" w:rsidRDefault="00CA5EF7" w:rsidP="00CA5EF7">
      <w:pPr>
        <w:pStyle w:val="ListParagraph"/>
        <w:spacing w:after="120" w:line="240" w:lineRule="auto"/>
        <w:ind w:left="0"/>
        <w:jc w:val="both"/>
        <w:rPr>
          <w:rFonts w:ascii="Times New Roman" w:eastAsia="Times New Roman" w:hAnsi="Times New Roman" w:cs="Times New Roman"/>
          <w:b/>
          <w:bCs/>
          <w:sz w:val="24"/>
          <w:szCs w:val="24"/>
          <w:lang w:val="en-US"/>
        </w:rPr>
      </w:pPr>
      <w:r w:rsidRPr="002B62C4">
        <w:rPr>
          <w:rFonts w:ascii="Times New Roman" w:eastAsia="Times New Roman" w:hAnsi="Times New Roman" w:cs="Times New Roman"/>
          <w:b/>
          <w:bCs/>
          <w:sz w:val="24"/>
          <w:szCs w:val="24"/>
          <w:lang w:val="en-US"/>
        </w:rPr>
        <w:t>Sale of finished products</w:t>
      </w:r>
    </w:p>
    <w:p w14:paraId="7CA68F88" w14:textId="77777777" w:rsidR="00CA5EF7" w:rsidRPr="002B62C4" w:rsidRDefault="00CA5EF7" w:rsidP="00CA5EF7">
      <w:pPr>
        <w:pStyle w:val="ListParagraph"/>
        <w:spacing w:after="120" w:line="240" w:lineRule="auto"/>
        <w:ind w:left="0"/>
        <w:jc w:val="both"/>
        <w:rPr>
          <w:rFonts w:ascii="Times New Roman" w:eastAsia="Times New Roman" w:hAnsi="Times New Roman" w:cs="Times New Roman"/>
          <w:b/>
          <w:bCs/>
          <w:sz w:val="24"/>
          <w:szCs w:val="24"/>
          <w:lang w:val="en-US"/>
        </w:rPr>
      </w:pPr>
    </w:p>
    <w:p w14:paraId="1CDD4A1F" w14:textId="20434026" w:rsidR="00CA5EF7" w:rsidRPr="002B62C4" w:rsidRDefault="00CA5EF7" w:rsidP="00CA5EF7">
      <w:pPr>
        <w:jc w:val="both"/>
        <w:rPr>
          <w:lang w:val="en-US"/>
        </w:rPr>
      </w:pPr>
      <w:r w:rsidRPr="002B62C4">
        <w:rPr>
          <w:lang w:val="en-US"/>
        </w:rPr>
        <w:t>The Dore bars produced at the Kumtor mine are purchased by Kyrgyzaltyn OJSC for further processing at the Kara-Balta refinery as stipulated by the Revised Gold and Silver Sale Agreement (</w:t>
      </w:r>
      <w:r w:rsidR="00B602B6" w:rsidRPr="002B62C4">
        <w:rPr>
          <w:lang w:val="en-US"/>
        </w:rPr>
        <w:t>RGSSA</w:t>
      </w:r>
      <w:r w:rsidRPr="002B62C4">
        <w:rPr>
          <w:lang w:val="en-US"/>
        </w:rPr>
        <w:t xml:space="preserve">) entered into between Kumtor Gold Company, Kyrgyzaltyn Joint Stock Company and the Cabinet of Ministers of the Kyrgyz Republic on behalf of the Kyrgyz Republic in 2024. The exclusive right to sell refined gold and silver in the Kyrgyz Republic and abroad is possessed, in accordance with the provisions of the </w:t>
      </w:r>
      <w:r w:rsidR="000B5F28" w:rsidRPr="002B62C4">
        <w:rPr>
          <w:lang w:val="en-US"/>
        </w:rPr>
        <w:t xml:space="preserve">RGSSA </w:t>
      </w:r>
      <w:r w:rsidRPr="002B62C4">
        <w:rPr>
          <w:lang w:val="en-US"/>
        </w:rPr>
        <w:t xml:space="preserve">only by Kyrgyzaltyn OJSC. </w:t>
      </w:r>
    </w:p>
    <w:p w14:paraId="70714886" w14:textId="77777777" w:rsidR="00CA5EF7" w:rsidRPr="002B62C4" w:rsidRDefault="00CA5EF7" w:rsidP="00CA5EF7">
      <w:pPr>
        <w:jc w:val="both"/>
        <w:rPr>
          <w:lang w:val="en-US"/>
        </w:rPr>
      </w:pPr>
    </w:p>
    <w:p w14:paraId="44F81E89" w14:textId="77777777" w:rsidR="00CA5EF7" w:rsidRPr="002B62C4" w:rsidRDefault="00CA5EF7" w:rsidP="00CA5EF7">
      <w:pPr>
        <w:jc w:val="both"/>
        <w:rPr>
          <w:lang w:val="en-US"/>
        </w:rPr>
      </w:pPr>
      <w:r w:rsidRPr="002B62C4">
        <w:rPr>
          <w:lang w:val="en-US"/>
        </w:rPr>
        <w:t>In 2025, KGC sold 386,616 ounces (12,025 kg) of gold. Total income from gold sales for 2025 amounted to USD 1,434.6 million.</w:t>
      </w:r>
    </w:p>
    <w:p w14:paraId="7DB8504C" w14:textId="77777777" w:rsidR="00CA5EF7" w:rsidRPr="002B62C4" w:rsidRDefault="00CA5EF7" w:rsidP="00CA5EF7">
      <w:pPr>
        <w:spacing w:after="160"/>
        <w:jc w:val="both"/>
        <w:rPr>
          <w:spacing w:val="-1"/>
          <w:lang w:val="en-US"/>
        </w:rPr>
      </w:pPr>
    </w:p>
    <w:p w14:paraId="22ED6E58" w14:textId="77777777" w:rsidR="00CA5EF7" w:rsidRPr="002B62C4" w:rsidRDefault="00CA5EF7" w:rsidP="00CA5EF7">
      <w:pPr>
        <w:rPr>
          <w:rFonts w:cstheme="minorHAnsi"/>
          <w:b/>
          <w:sz w:val="22"/>
          <w:szCs w:val="22"/>
          <w:lang w:val="en-US" w:eastAsia="en-US"/>
        </w:rPr>
      </w:pPr>
      <w:r w:rsidRPr="002B62C4">
        <w:rPr>
          <w:rFonts w:cstheme="minorHAnsi"/>
          <w:b/>
          <w:lang w:val="en-US"/>
        </w:rPr>
        <w:t xml:space="preserve">Payments to the Budget of the Kyrgyz Republic and Mandatory Contributions </w:t>
      </w:r>
    </w:p>
    <w:p w14:paraId="09AEEDD4" w14:textId="77777777" w:rsidR="00CA5EF7" w:rsidRPr="002B62C4" w:rsidRDefault="00CA5EF7" w:rsidP="00CA5EF7">
      <w:pPr>
        <w:rPr>
          <w:rFonts w:cstheme="minorHAnsi"/>
          <w:lang w:val="en-US"/>
        </w:rPr>
      </w:pPr>
    </w:p>
    <w:p w14:paraId="16E698E9" w14:textId="2829008D" w:rsidR="00CA5EF7" w:rsidRPr="002B62C4" w:rsidRDefault="00CA5EF7" w:rsidP="00CA5EF7">
      <w:pPr>
        <w:jc w:val="both"/>
        <w:rPr>
          <w:lang w:val="en-US"/>
        </w:rPr>
      </w:pPr>
      <w:r w:rsidRPr="002B62C4">
        <w:rPr>
          <w:lang w:val="en-US"/>
        </w:rPr>
        <w:t>For 2025, payments to the budget of the Kyrgyz Republic in the form of taxes, contributions to the Social Fund of the Kyrgyz Republic and other mandatory payments provided for by the Revised Investment Agreement (</w:t>
      </w:r>
      <w:r w:rsidR="000B5F28" w:rsidRPr="002B62C4">
        <w:rPr>
          <w:lang w:val="en-US"/>
        </w:rPr>
        <w:t>RI</w:t>
      </w:r>
      <w:r w:rsidRPr="002B62C4">
        <w:rPr>
          <w:lang w:val="en-US"/>
        </w:rPr>
        <w:t>A) of 2009 amounted to USD 246.5 million (KGS 21.5 billion).</w:t>
      </w:r>
    </w:p>
    <w:p w14:paraId="2784F3A5" w14:textId="77777777" w:rsidR="00CA5EF7" w:rsidRPr="002B62C4" w:rsidRDefault="00CA5EF7" w:rsidP="00CA5EF7">
      <w:pPr>
        <w:jc w:val="both"/>
        <w:rPr>
          <w:rFonts w:cstheme="minorBidi"/>
          <w:b/>
          <w:bCs/>
          <w:lang w:val="en-US"/>
        </w:rPr>
      </w:pPr>
    </w:p>
    <w:p w14:paraId="3283C1FB" w14:textId="77777777" w:rsidR="00CA5EF7" w:rsidRPr="002B62C4" w:rsidRDefault="00CA5EF7" w:rsidP="00CA5EF7">
      <w:pPr>
        <w:jc w:val="both"/>
        <w:rPr>
          <w:rFonts w:cstheme="minorBidi"/>
          <w:b/>
          <w:bCs/>
          <w:lang w:val="en-US"/>
        </w:rPr>
      </w:pPr>
    </w:p>
    <w:p w14:paraId="03B58724" w14:textId="77777777" w:rsidR="00CA5EF7" w:rsidRPr="002B62C4" w:rsidRDefault="00CA5EF7" w:rsidP="00CA5EF7">
      <w:pPr>
        <w:rPr>
          <w:rFonts w:cstheme="minorBidi"/>
          <w:b/>
          <w:bCs/>
          <w:i/>
          <w:iCs/>
          <w:lang w:val="en-US"/>
        </w:rPr>
      </w:pPr>
      <w:r w:rsidRPr="002B62C4">
        <w:rPr>
          <w:rFonts w:cstheme="minorBidi"/>
          <w:b/>
          <w:bCs/>
          <w:i/>
          <w:iCs/>
          <w:lang w:val="en-US"/>
        </w:rPr>
        <w:t>Kumtor's contribution in the form of taxes, payments to Funds and mandatory payments for 2025.</w:t>
      </w:r>
    </w:p>
    <w:p w14:paraId="660E1218" w14:textId="77777777" w:rsidR="00CA5EF7" w:rsidRPr="002B62C4" w:rsidRDefault="00CA5EF7" w:rsidP="00CA5EF7">
      <w:pPr>
        <w:rPr>
          <w:rFonts w:cstheme="minorBidi"/>
          <w:b/>
          <w:bCs/>
          <w:i/>
          <w:iCs/>
          <w:lang w:val="en-U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1720"/>
        <w:gridCol w:w="2500"/>
      </w:tblGrid>
      <w:tr w:rsidR="00CA5EF7" w:rsidRPr="002B62C4" w14:paraId="228972A7" w14:textId="77777777" w:rsidTr="00DE5CBB">
        <w:trPr>
          <w:trHeight w:val="300"/>
        </w:trPr>
        <w:tc>
          <w:tcPr>
            <w:tcW w:w="5560" w:type="dxa"/>
            <w:vAlign w:val="center"/>
            <w:hideMark/>
          </w:tcPr>
          <w:p w14:paraId="44D90E64" w14:textId="77777777" w:rsidR="00CA5EF7" w:rsidRPr="002B62C4" w:rsidRDefault="00CA5EF7" w:rsidP="00DE5CBB">
            <w:pPr>
              <w:jc w:val="center"/>
              <w:rPr>
                <w:b/>
                <w:bCs/>
                <w:color w:val="000000"/>
                <w:sz w:val="20"/>
                <w:szCs w:val="20"/>
                <w:lang w:val="en-US"/>
              </w:rPr>
            </w:pPr>
            <w:r w:rsidRPr="002B62C4">
              <w:rPr>
                <w:b/>
                <w:bCs/>
                <w:color w:val="000000"/>
                <w:sz w:val="20"/>
                <w:szCs w:val="20"/>
                <w:lang w:val="en-US"/>
              </w:rPr>
              <w:t>Taxes, payments to Funds and other mandatory payments of KGC</w:t>
            </w:r>
          </w:p>
        </w:tc>
        <w:tc>
          <w:tcPr>
            <w:tcW w:w="1720" w:type="dxa"/>
            <w:noWrap/>
            <w:vAlign w:val="center"/>
            <w:hideMark/>
          </w:tcPr>
          <w:p w14:paraId="5609ECD7" w14:textId="6FB92044" w:rsidR="00CA5EF7" w:rsidRPr="002B62C4" w:rsidRDefault="00CA5EF7" w:rsidP="00DE5CBB">
            <w:pPr>
              <w:jc w:val="center"/>
              <w:rPr>
                <w:b/>
                <w:bCs/>
                <w:color w:val="000000"/>
                <w:sz w:val="20"/>
                <w:szCs w:val="20"/>
              </w:rPr>
            </w:pPr>
            <w:r w:rsidRPr="002B62C4">
              <w:rPr>
                <w:b/>
                <w:bCs/>
                <w:color w:val="000000"/>
                <w:sz w:val="20"/>
                <w:szCs w:val="20"/>
              </w:rPr>
              <w:t>2025</w:t>
            </w:r>
          </w:p>
        </w:tc>
        <w:tc>
          <w:tcPr>
            <w:tcW w:w="2500" w:type="dxa"/>
            <w:noWrap/>
            <w:vAlign w:val="center"/>
          </w:tcPr>
          <w:p w14:paraId="55CFDE21" w14:textId="657A8025" w:rsidR="00CA5EF7" w:rsidRPr="002B62C4" w:rsidRDefault="00CA5EF7" w:rsidP="00DE5CBB">
            <w:pPr>
              <w:jc w:val="center"/>
              <w:rPr>
                <w:b/>
                <w:bCs/>
                <w:color w:val="000000"/>
                <w:sz w:val="20"/>
                <w:szCs w:val="20"/>
              </w:rPr>
            </w:pPr>
            <w:r w:rsidRPr="002B62C4">
              <w:rPr>
                <w:b/>
                <w:bCs/>
                <w:color w:val="000000"/>
                <w:sz w:val="20"/>
                <w:szCs w:val="20"/>
              </w:rPr>
              <w:t>2025</w:t>
            </w:r>
          </w:p>
        </w:tc>
      </w:tr>
      <w:tr w:rsidR="00CA5EF7" w:rsidRPr="002B62C4" w14:paraId="6CBFC9D5" w14:textId="77777777" w:rsidTr="00DE5CBB">
        <w:trPr>
          <w:trHeight w:val="300"/>
        </w:trPr>
        <w:tc>
          <w:tcPr>
            <w:tcW w:w="5560" w:type="dxa"/>
            <w:noWrap/>
            <w:vAlign w:val="center"/>
          </w:tcPr>
          <w:p w14:paraId="0E004245" w14:textId="77777777" w:rsidR="00CA5EF7" w:rsidRPr="002B62C4" w:rsidRDefault="00CA5EF7" w:rsidP="00DE5CBB">
            <w:pPr>
              <w:rPr>
                <w:color w:val="000000"/>
                <w:sz w:val="20"/>
                <w:szCs w:val="20"/>
              </w:rPr>
            </w:pPr>
          </w:p>
        </w:tc>
        <w:tc>
          <w:tcPr>
            <w:tcW w:w="1720" w:type="dxa"/>
            <w:noWrap/>
            <w:vAlign w:val="center"/>
          </w:tcPr>
          <w:p w14:paraId="3AFAFD20" w14:textId="77777777" w:rsidR="00CA5EF7" w:rsidRPr="002B62C4" w:rsidRDefault="00CA5EF7" w:rsidP="00DE5CBB">
            <w:pPr>
              <w:jc w:val="center"/>
              <w:rPr>
                <w:color w:val="000000"/>
                <w:sz w:val="20"/>
                <w:szCs w:val="20"/>
              </w:rPr>
            </w:pPr>
            <w:r w:rsidRPr="002B62C4">
              <w:rPr>
                <w:b/>
                <w:bCs/>
                <w:color w:val="000000"/>
                <w:sz w:val="20"/>
                <w:szCs w:val="20"/>
              </w:rPr>
              <w:t>thousand USD</w:t>
            </w:r>
          </w:p>
        </w:tc>
        <w:tc>
          <w:tcPr>
            <w:tcW w:w="2500" w:type="dxa"/>
            <w:noWrap/>
            <w:vAlign w:val="center"/>
          </w:tcPr>
          <w:p w14:paraId="49CD86F9" w14:textId="4B8694E7" w:rsidR="00CA5EF7" w:rsidRPr="002B62C4" w:rsidRDefault="00CA5EF7" w:rsidP="00DE5CBB">
            <w:pPr>
              <w:jc w:val="center"/>
              <w:rPr>
                <w:color w:val="000000"/>
                <w:sz w:val="20"/>
                <w:szCs w:val="20"/>
              </w:rPr>
            </w:pPr>
            <w:r w:rsidRPr="002B62C4">
              <w:rPr>
                <w:b/>
                <w:bCs/>
                <w:color w:val="000000"/>
                <w:sz w:val="20"/>
                <w:szCs w:val="20"/>
              </w:rPr>
              <w:t xml:space="preserve">thousand </w:t>
            </w:r>
            <w:r w:rsidR="009F70AA" w:rsidRPr="002B62C4">
              <w:rPr>
                <w:b/>
                <w:bCs/>
                <w:color w:val="000000"/>
                <w:sz w:val="20"/>
                <w:szCs w:val="20"/>
                <w:lang w:val="en-US"/>
              </w:rPr>
              <w:t>KG</w:t>
            </w:r>
            <w:r w:rsidR="00BD2F5C" w:rsidRPr="002B62C4">
              <w:rPr>
                <w:b/>
                <w:bCs/>
                <w:color w:val="000000"/>
                <w:sz w:val="20"/>
                <w:szCs w:val="20"/>
                <w:lang w:val="en-US"/>
              </w:rPr>
              <w:t>S</w:t>
            </w:r>
          </w:p>
        </w:tc>
      </w:tr>
      <w:tr w:rsidR="00CA5EF7" w:rsidRPr="002B62C4" w14:paraId="577E846B" w14:textId="77777777" w:rsidTr="00DE5CBB">
        <w:trPr>
          <w:trHeight w:val="300"/>
        </w:trPr>
        <w:tc>
          <w:tcPr>
            <w:tcW w:w="5560" w:type="dxa"/>
            <w:noWrap/>
            <w:vAlign w:val="center"/>
            <w:hideMark/>
          </w:tcPr>
          <w:p w14:paraId="14AEE63E" w14:textId="77777777" w:rsidR="00CA5EF7" w:rsidRPr="002B62C4" w:rsidRDefault="00CA5EF7" w:rsidP="00DE5CBB">
            <w:pPr>
              <w:rPr>
                <w:color w:val="000000"/>
                <w:sz w:val="20"/>
                <w:szCs w:val="20"/>
              </w:rPr>
            </w:pPr>
            <w:r w:rsidRPr="002B62C4">
              <w:rPr>
                <w:color w:val="000000"/>
                <w:sz w:val="20"/>
                <w:szCs w:val="20"/>
              </w:rPr>
              <w:t>Gross Income Tax (13%)</w:t>
            </w:r>
          </w:p>
        </w:tc>
        <w:tc>
          <w:tcPr>
            <w:tcW w:w="1720" w:type="dxa"/>
            <w:noWrap/>
            <w:vAlign w:val="center"/>
            <w:hideMark/>
          </w:tcPr>
          <w:p w14:paraId="14C3A7BA" w14:textId="77777777" w:rsidR="00CA5EF7" w:rsidRPr="002B62C4" w:rsidRDefault="00CA5EF7" w:rsidP="00DE5CBB">
            <w:pPr>
              <w:jc w:val="right"/>
              <w:rPr>
                <w:color w:val="000000"/>
                <w:sz w:val="20"/>
                <w:szCs w:val="20"/>
              </w:rPr>
            </w:pPr>
            <w:r w:rsidRPr="002B62C4">
              <w:rPr>
                <w:color w:val="000000"/>
                <w:sz w:val="20"/>
                <w:szCs w:val="20"/>
              </w:rPr>
              <w:t>162 785</w:t>
            </w:r>
          </w:p>
        </w:tc>
        <w:tc>
          <w:tcPr>
            <w:tcW w:w="2500" w:type="dxa"/>
            <w:noWrap/>
            <w:vAlign w:val="center"/>
            <w:hideMark/>
          </w:tcPr>
          <w:p w14:paraId="31063DD3" w14:textId="77777777" w:rsidR="00CA5EF7" w:rsidRPr="002B62C4" w:rsidRDefault="00CA5EF7" w:rsidP="00DE5CBB">
            <w:pPr>
              <w:jc w:val="right"/>
              <w:rPr>
                <w:color w:val="000000"/>
                <w:sz w:val="20"/>
                <w:szCs w:val="20"/>
              </w:rPr>
            </w:pPr>
            <w:r w:rsidRPr="002B62C4">
              <w:rPr>
                <w:color w:val="000000"/>
                <w:sz w:val="20"/>
                <w:szCs w:val="20"/>
              </w:rPr>
              <w:t xml:space="preserve">14 225 161 </w:t>
            </w:r>
          </w:p>
        </w:tc>
      </w:tr>
      <w:tr w:rsidR="00CA5EF7" w:rsidRPr="002B62C4" w14:paraId="34A96D65" w14:textId="77777777" w:rsidTr="00DE5CBB">
        <w:trPr>
          <w:trHeight w:val="300"/>
        </w:trPr>
        <w:tc>
          <w:tcPr>
            <w:tcW w:w="5560" w:type="dxa"/>
            <w:noWrap/>
            <w:vAlign w:val="center"/>
            <w:hideMark/>
          </w:tcPr>
          <w:p w14:paraId="2BAAE2A0" w14:textId="77777777" w:rsidR="00CA5EF7" w:rsidRPr="002B62C4" w:rsidRDefault="00CA5EF7" w:rsidP="00DE5CBB">
            <w:pPr>
              <w:rPr>
                <w:color w:val="000000"/>
                <w:sz w:val="20"/>
                <w:szCs w:val="20"/>
                <w:lang w:val="en-US"/>
              </w:rPr>
            </w:pPr>
            <w:r w:rsidRPr="002B62C4">
              <w:rPr>
                <w:color w:val="000000"/>
                <w:sz w:val="20"/>
                <w:szCs w:val="20"/>
                <w:lang w:val="en-US"/>
              </w:rPr>
              <w:t>Annual amount for the growth of the mineral resource base (4%)</w:t>
            </w:r>
          </w:p>
        </w:tc>
        <w:tc>
          <w:tcPr>
            <w:tcW w:w="1720" w:type="dxa"/>
            <w:noWrap/>
            <w:vAlign w:val="center"/>
            <w:hideMark/>
          </w:tcPr>
          <w:p w14:paraId="55C4E13A" w14:textId="77777777" w:rsidR="00CA5EF7" w:rsidRPr="002B62C4" w:rsidRDefault="00CA5EF7" w:rsidP="00DE5CBB">
            <w:pPr>
              <w:jc w:val="right"/>
              <w:rPr>
                <w:color w:val="000000"/>
                <w:sz w:val="20"/>
                <w:szCs w:val="20"/>
              </w:rPr>
            </w:pPr>
            <w:r w:rsidRPr="002B62C4">
              <w:rPr>
                <w:color w:val="000000"/>
                <w:sz w:val="20"/>
                <w:szCs w:val="20"/>
                <w:lang w:val="en-US"/>
              </w:rPr>
              <w:t xml:space="preserve"> </w:t>
            </w:r>
            <w:r w:rsidRPr="002B62C4">
              <w:rPr>
                <w:color w:val="000000"/>
                <w:sz w:val="20"/>
                <w:szCs w:val="20"/>
              </w:rPr>
              <w:t xml:space="preserve">24 393 </w:t>
            </w:r>
          </w:p>
        </w:tc>
        <w:tc>
          <w:tcPr>
            <w:tcW w:w="2500" w:type="dxa"/>
            <w:noWrap/>
            <w:vAlign w:val="center"/>
            <w:hideMark/>
          </w:tcPr>
          <w:p w14:paraId="7D014462" w14:textId="77777777" w:rsidR="00CA5EF7" w:rsidRPr="002B62C4" w:rsidRDefault="00CA5EF7" w:rsidP="00DE5CBB">
            <w:pPr>
              <w:jc w:val="right"/>
              <w:rPr>
                <w:color w:val="000000"/>
                <w:sz w:val="20"/>
                <w:szCs w:val="20"/>
              </w:rPr>
            </w:pPr>
            <w:r w:rsidRPr="002B62C4">
              <w:rPr>
                <w:color w:val="000000"/>
                <w:sz w:val="20"/>
                <w:szCs w:val="20"/>
              </w:rPr>
              <w:t xml:space="preserve">2 110 133 </w:t>
            </w:r>
          </w:p>
        </w:tc>
      </w:tr>
      <w:tr w:rsidR="00CA5EF7" w:rsidRPr="002B62C4" w14:paraId="4A3EAB50" w14:textId="77777777" w:rsidTr="00DE5CBB">
        <w:trPr>
          <w:trHeight w:val="300"/>
        </w:trPr>
        <w:tc>
          <w:tcPr>
            <w:tcW w:w="5560" w:type="dxa"/>
            <w:noWrap/>
            <w:vAlign w:val="center"/>
            <w:hideMark/>
          </w:tcPr>
          <w:p w14:paraId="62D69707" w14:textId="77777777" w:rsidR="00CA5EF7" w:rsidRPr="002B62C4" w:rsidRDefault="00CA5EF7" w:rsidP="00DE5CBB">
            <w:pPr>
              <w:rPr>
                <w:color w:val="000000"/>
                <w:sz w:val="20"/>
                <w:szCs w:val="20"/>
              </w:rPr>
            </w:pPr>
            <w:r w:rsidRPr="002B62C4">
              <w:rPr>
                <w:color w:val="000000"/>
                <w:sz w:val="20"/>
                <w:szCs w:val="20"/>
              </w:rPr>
              <w:t>Issyk-Kul Contribution (1%)</w:t>
            </w:r>
          </w:p>
        </w:tc>
        <w:tc>
          <w:tcPr>
            <w:tcW w:w="1720" w:type="dxa"/>
            <w:noWrap/>
            <w:vAlign w:val="center"/>
            <w:hideMark/>
          </w:tcPr>
          <w:p w14:paraId="5D6CD17D" w14:textId="77777777" w:rsidR="00CA5EF7" w:rsidRPr="002B62C4" w:rsidRDefault="00CA5EF7" w:rsidP="00DE5CBB">
            <w:pPr>
              <w:jc w:val="right"/>
              <w:rPr>
                <w:color w:val="000000"/>
                <w:sz w:val="20"/>
                <w:szCs w:val="20"/>
              </w:rPr>
            </w:pPr>
            <w:r w:rsidRPr="002B62C4">
              <w:rPr>
                <w:color w:val="000000"/>
                <w:sz w:val="20"/>
                <w:szCs w:val="20"/>
              </w:rPr>
              <w:t>12 522</w:t>
            </w:r>
          </w:p>
        </w:tc>
        <w:tc>
          <w:tcPr>
            <w:tcW w:w="2500" w:type="dxa"/>
            <w:noWrap/>
            <w:vAlign w:val="center"/>
            <w:hideMark/>
          </w:tcPr>
          <w:p w14:paraId="32ADA278" w14:textId="77777777" w:rsidR="00CA5EF7" w:rsidRPr="002B62C4" w:rsidRDefault="00CA5EF7" w:rsidP="00DE5CBB">
            <w:pPr>
              <w:jc w:val="right"/>
              <w:rPr>
                <w:color w:val="000000"/>
                <w:sz w:val="20"/>
                <w:szCs w:val="20"/>
              </w:rPr>
            </w:pPr>
            <w:r w:rsidRPr="002B62C4">
              <w:rPr>
                <w:color w:val="000000"/>
                <w:sz w:val="20"/>
                <w:szCs w:val="20"/>
              </w:rPr>
              <w:t xml:space="preserve">1 094 243 </w:t>
            </w:r>
          </w:p>
        </w:tc>
      </w:tr>
      <w:tr w:rsidR="00CA5EF7" w:rsidRPr="002B62C4" w14:paraId="16E8EC07" w14:textId="77777777" w:rsidTr="00DE5CBB">
        <w:trPr>
          <w:trHeight w:val="300"/>
        </w:trPr>
        <w:tc>
          <w:tcPr>
            <w:tcW w:w="5560" w:type="dxa"/>
            <w:noWrap/>
            <w:vAlign w:val="center"/>
            <w:hideMark/>
          </w:tcPr>
          <w:p w14:paraId="613EEE1B" w14:textId="77777777" w:rsidR="00CA5EF7" w:rsidRPr="002B62C4" w:rsidRDefault="00CA5EF7" w:rsidP="00DE5CBB">
            <w:pPr>
              <w:rPr>
                <w:color w:val="000000"/>
                <w:sz w:val="20"/>
                <w:szCs w:val="20"/>
              </w:rPr>
            </w:pPr>
            <w:r w:rsidRPr="002B62C4">
              <w:rPr>
                <w:color w:val="000000"/>
                <w:sz w:val="20"/>
                <w:szCs w:val="20"/>
              </w:rPr>
              <w:t>Income tax</w:t>
            </w:r>
          </w:p>
        </w:tc>
        <w:tc>
          <w:tcPr>
            <w:tcW w:w="1720" w:type="dxa"/>
            <w:noWrap/>
            <w:vAlign w:val="center"/>
            <w:hideMark/>
          </w:tcPr>
          <w:p w14:paraId="46417E0A" w14:textId="77777777" w:rsidR="00CA5EF7" w:rsidRPr="002B62C4" w:rsidRDefault="00CA5EF7" w:rsidP="00DE5CBB">
            <w:pPr>
              <w:jc w:val="right"/>
              <w:rPr>
                <w:color w:val="000000"/>
                <w:sz w:val="20"/>
                <w:szCs w:val="20"/>
              </w:rPr>
            </w:pPr>
            <w:r w:rsidRPr="002B62C4">
              <w:rPr>
                <w:color w:val="000000"/>
                <w:sz w:val="20"/>
                <w:szCs w:val="20"/>
              </w:rPr>
              <w:t>181</w:t>
            </w:r>
          </w:p>
        </w:tc>
        <w:tc>
          <w:tcPr>
            <w:tcW w:w="2500" w:type="dxa"/>
            <w:noWrap/>
            <w:vAlign w:val="center"/>
            <w:hideMark/>
          </w:tcPr>
          <w:p w14:paraId="598D259D" w14:textId="77777777" w:rsidR="00CA5EF7" w:rsidRPr="002B62C4" w:rsidRDefault="00CA5EF7" w:rsidP="00DE5CBB">
            <w:pPr>
              <w:jc w:val="right"/>
              <w:rPr>
                <w:color w:val="000000"/>
                <w:sz w:val="20"/>
                <w:szCs w:val="20"/>
              </w:rPr>
            </w:pPr>
            <w:r w:rsidRPr="002B62C4">
              <w:rPr>
                <w:color w:val="000000"/>
                <w:sz w:val="20"/>
                <w:szCs w:val="20"/>
              </w:rPr>
              <w:t>15 807</w:t>
            </w:r>
          </w:p>
        </w:tc>
      </w:tr>
      <w:tr w:rsidR="00CA5EF7" w:rsidRPr="002B62C4" w14:paraId="361E6DDA" w14:textId="77777777" w:rsidTr="00DE5CBB">
        <w:trPr>
          <w:trHeight w:val="300"/>
        </w:trPr>
        <w:tc>
          <w:tcPr>
            <w:tcW w:w="5560" w:type="dxa"/>
            <w:noWrap/>
            <w:vAlign w:val="center"/>
            <w:hideMark/>
          </w:tcPr>
          <w:p w14:paraId="00B382EB" w14:textId="77777777" w:rsidR="00CA5EF7" w:rsidRPr="002B62C4" w:rsidRDefault="00CA5EF7" w:rsidP="00DE5CBB">
            <w:pPr>
              <w:rPr>
                <w:color w:val="000000"/>
                <w:sz w:val="20"/>
                <w:szCs w:val="20"/>
              </w:rPr>
            </w:pPr>
            <w:r w:rsidRPr="002B62C4">
              <w:rPr>
                <w:color w:val="000000"/>
                <w:sz w:val="20"/>
                <w:szCs w:val="20"/>
              </w:rPr>
              <w:t>Social Insurance Contributions</w:t>
            </w:r>
          </w:p>
        </w:tc>
        <w:tc>
          <w:tcPr>
            <w:tcW w:w="1720" w:type="dxa"/>
            <w:noWrap/>
            <w:vAlign w:val="center"/>
            <w:hideMark/>
          </w:tcPr>
          <w:p w14:paraId="01B21198" w14:textId="77777777" w:rsidR="00CA5EF7" w:rsidRPr="002B62C4" w:rsidRDefault="00CA5EF7" w:rsidP="00DE5CBB">
            <w:pPr>
              <w:jc w:val="right"/>
              <w:rPr>
                <w:color w:val="000000"/>
                <w:sz w:val="20"/>
                <w:szCs w:val="20"/>
              </w:rPr>
            </w:pPr>
            <w:r w:rsidRPr="002B62C4">
              <w:rPr>
                <w:color w:val="000000"/>
                <w:sz w:val="20"/>
                <w:szCs w:val="20"/>
              </w:rPr>
              <w:t>28 233</w:t>
            </w:r>
          </w:p>
        </w:tc>
        <w:tc>
          <w:tcPr>
            <w:tcW w:w="2500" w:type="dxa"/>
            <w:noWrap/>
            <w:vAlign w:val="center"/>
            <w:hideMark/>
          </w:tcPr>
          <w:p w14:paraId="2759ABBE" w14:textId="77777777" w:rsidR="00CA5EF7" w:rsidRPr="002B62C4" w:rsidRDefault="00CA5EF7" w:rsidP="00DE5CBB">
            <w:pPr>
              <w:jc w:val="right"/>
              <w:rPr>
                <w:color w:val="000000"/>
                <w:sz w:val="20"/>
                <w:szCs w:val="20"/>
              </w:rPr>
            </w:pPr>
            <w:r w:rsidRPr="002B62C4">
              <w:rPr>
                <w:color w:val="000000"/>
                <w:sz w:val="20"/>
                <w:szCs w:val="20"/>
              </w:rPr>
              <w:t xml:space="preserve">2 468 752 </w:t>
            </w:r>
          </w:p>
        </w:tc>
      </w:tr>
      <w:tr w:rsidR="00CA5EF7" w:rsidRPr="002B62C4" w14:paraId="62DAC9B0" w14:textId="77777777" w:rsidTr="00DE5CBB">
        <w:trPr>
          <w:trHeight w:val="530"/>
        </w:trPr>
        <w:tc>
          <w:tcPr>
            <w:tcW w:w="5560" w:type="dxa"/>
            <w:vAlign w:val="center"/>
            <w:hideMark/>
          </w:tcPr>
          <w:p w14:paraId="48691CDF" w14:textId="77777777" w:rsidR="00CA5EF7" w:rsidRPr="002B62C4" w:rsidRDefault="00CA5EF7" w:rsidP="00DE5CBB">
            <w:pPr>
              <w:rPr>
                <w:color w:val="000000"/>
                <w:sz w:val="20"/>
                <w:szCs w:val="20"/>
                <w:lang w:val="en-US"/>
              </w:rPr>
            </w:pPr>
            <w:r w:rsidRPr="002B62C4">
              <w:rPr>
                <w:color w:val="000000"/>
                <w:sz w:val="20"/>
                <w:szCs w:val="20"/>
                <w:lang w:val="en-US"/>
              </w:rPr>
              <w:t>Taxes and fees (income tax, non-resident income tax, VAT, customs duties, etc.)</w:t>
            </w:r>
          </w:p>
        </w:tc>
        <w:tc>
          <w:tcPr>
            <w:tcW w:w="1720" w:type="dxa"/>
            <w:noWrap/>
            <w:vAlign w:val="center"/>
            <w:hideMark/>
          </w:tcPr>
          <w:p w14:paraId="038582EA" w14:textId="77777777" w:rsidR="00CA5EF7" w:rsidRPr="002B62C4" w:rsidRDefault="00CA5EF7" w:rsidP="00DE5CBB">
            <w:pPr>
              <w:jc w:val="right"/>
              <w:rPr>
                <w:color w:val="000000"/>
                <w:sz w:val="20"/>
                <w:szCs w:val="20"/>
              </w:rPr>
            </w:pPr>
            <w:r w:rsidRPr="002B62C4">
              <w:rPr>
                <w:color w:val="000000"/>
                <w:sz w:val="20"/>
                <w:szCs w:val="20"/>
              </w:rPr>
              <w:t>6 578</w:t>
            </w:r>
          </w:p>
        </w:tc>
        <w:tc>
          <w:tcPr>
            <w:tcW w:w="2500" w:type="dxa"/>
            <w:noWrap/>
            <w:vAlign w:val="center"/>
            <w:hideMark/>
          </w:tcPr>
          <w:p w14:paraId="33FBEDB3" w14:textId="77777777" w:rsidR="00CA5EF7" w:rsidRPr="002B62C4" w:rsidRDefault="00CA5EF7" w:rsidP="00DE5CBB">
            <w:pPr>
              <w:jc w:val="right"/>
              <w:rPr>
                <w:color w:val="000000"/>
                <w:sz w:val="20"/>
                <w:szCs w:val="20"/>
              </w:rPr>
            </w:pPr>
            <w:r w:rsidRPr="002B62C4">
              <w:rPr>
                <w:color w:val="000000"/>
                <w:sz w:val="20"/>
                <w:szCs w:val="20"/>
              </w:rPr>
              <w:t xml:space="preserve">575 114 </w:t>
            </w:r>
          </w:p>
        </w:tc>
      </w:tr>
      <w:tr w:rsidR="00CA5EF7" w:rsidRPr="002B62C4" w14:paraId="275712C3" w14:textId="77777777" w:rsidTr="00DE5CBB">
        <w:trPr>
          <w:trHeight w:val="530"/>
        </w:trPr>
        <w:tc>
          <w:tcPr>
            <w:tcW w:w="5560" w:type="dxa"/>
            <w:vAlign w:val="center"/>
            <w:hideMark/>
          </w:tcPr>
          <w:p w14:paraId="7E7840B9" w14:textId="77777777" w:rsidR="00CA5EF7" w:rsidRPr="002B62C4" w:rsidRDefault="00CA5EF7" w:rsidP="00DE5CBB">
            <w:pPr>
              <w:rPr>
                <w:color w:val="000000"/>
                <w:sz w:val="20"/>
                <w:szCs w:val="20"/>
                <w:lang w:val="en-US"/>
              </w:rPr>
            </w:pPr>
            <w:r w:rsidRPr="002B62C4">
              <w:rPr>
                <w:color w:val="000000"/>
                <w:sz w:val="20"/>
                <w:szCs w:val="20"/>
                <w:lang w:val="en-US"/>
              </w:rPr>
              <w:t>Environmental Payments to the Environmental Protection Agency</w:t>
            </w:r>
          </w:p>
        </w:tc>
        <w:tc>
          <w:tcPr>
            <w:tcW w:w="1720" w:type="dxa"/>
            <w:noWrap/>
            <w:vAlign w:val="center"/>
            <w:hideMark/>
          </w:tcPr>
          <w:p w14:paraId="6657E69A" w14:textId="77777777" w:rsidR="00CA5EF7" w:rsidRPr="002B62C4" w:rsidRDefault="00CA5EF7" w:rsidP="00DE5CBB">
            <w:pPr>
              <w:jc w:val="right"/>
              <w:rPr>
                <w:color w:val="000000"/>
                <w:sz w:val="20"/>
                <w:szCs w:val="20"/>
              </w:rPr>
            </w:pPr>
            <w:r w:rsidRPr="002B62C4">
              <w:rPr>
                <w:color w:val="000000"/>
                <w:sz w:val="20"/>
                <w:szCs w:val="20"/>
              </w:rPr>
              <w:t>310</w:t>
            </w:r>
          </w:p>
        </w:tc>
        <w:tc>
          <w:tcPr>
            <w:tcW w:w="2500" w:type="dxa"/>
            <w:noWrap/>
            <w:vAlign w:val="center"/>
            <w:hideMark/>
          </w:tcPr>
          <w:p w14:paraId="55368347" w14:textId="77777777" w:rsidR="00CA5EF7" w:rsidRPr="002B62C4" w:rsidRDefault="00CA5EF7" w:rsidP="00DE5CBB">
            <w:pPr>
              <w:jc w:val="right"/>
              <w:rPr>
                <w:color w:val="000000"/>
                <w:sz w:val="20"/>
                <w:szCs w:val="20"/>
              </w:rPr>
            </w:pPr>
            <w:r w:rsidRPr="002B62C4">
              <w:rPr>
                <w:color w:val="000000"/>
                <w:sz w:val="20"/>
                <w:szCs w:val="20"/>
              </w:rPr>
              <w:t>26 970</w:t>
            </w:r>
          </w:p>
        </w:tc>
      </w:tr>
      <w:tr w:rsidR="00CA5EF7" w:rsidRPr="002B62C4" w14:paraId="37444CBB" w14:textId="77777777" w:rsidTr="00DE5CBB">
        <w:trPr>
          <w:trHeight w:val="300"/>
        </w:trPr>
        <w:tc>
          <w:tcPr>
            <w:tcW w:w="5560" w:type="dxa"/>
            <w:noWrap/>
            <w:vAlign w:val="center"/>
            <w:hideMark/>
          </w:tcPr>
          <w:p w14:paraId="52777FC1" w14:textId="77777777" w:rsidR="00CA5EF7" w:rsidRPr="002B62C4" w:rsidRDefault="00CA5EF7" w:rsidP="00DE5CBB">
            <w:pPr>
              <w:rPr>
                <w:color w:val="000000"/>
                <w:sz w:val="20"/>
                <w:szCs w:val="20"/>
                <w:lang w:val="en-US"/>
              </w:rPr>
            </w:pPr>
            <w:r w:rsidRPr="002B62C4">
              <w:rPr>
                <w:color w:val="000000"/>
                <w:sz w:val="20"/>
                <w:szCs w:val="20"/>
                <w:lang w:val="en-US"/>
              </w:rPr>
              <w:t>Naryn Oblast Development Fund "Tenir-Too" (0.6%)</w:t>
            </w:r>
          </w:p>
        </w:tc>
        <w:tc>
          <w:tcPr>
            <w:tcW w:w="1720" w:type="dxa"/>
            <w:noWrap/>
            <w:vAlign w:val="center"/>
            <w:hideMark/>
          </w:tcPr>
          <w:p w14:paraId="4D6D02CD" w14:textId="77777777" w:rsidR="00CA5EF7" w:rsidRPr="002B62C4" w:rsidRDefault="00CA5EF7" w:rsidP="00DE5CBB">
            <w:pPr>
              <w:jc w:val="right"/>
              <w:rPr>
                <w:color w:val="000000"/>
                <w:sz w:val="20"/>
                <w:szCs w:val="20"/>
              </w:rPr>
            </w:pPr>
            <w:r w:rsidRPr="002B62C4">
              <w:rPr>
                <w:color w:val="000000"/>
                <w:sz w:val="20"/>
                <w:szCs w:val="20"/>
              </w:rPr>
              <w:t>7 513</w:t>
            </w:r>
          </w:p>
        </w:tc>
        <w:tc>
          <w:tcPr>
            <w:tcW w:w="2500" w:type="dxa"/>
            <w:noWrap/>
            <w:vAlign w:val="center"/>
            <w:hideMark/>
          </w:tcPr>
          <w:p w14:paraId="6A115DB1" w14:textId="77777777" w:rsidR="00CA5EF7" w:rsidRPr="002B62C4" w:rsidRDefault="00CA5EF7" w:rsidP="00DE5CBB">
            <w:pPr>
              <w:jc w:val="right"/>
              <w:rPr>
                <w:color w:val="000000"/>
                <w:sz w:val="20"/>
                <w:szCs w:val="20"/>
              </w:rPr>
            </w:pPr>
            <w:r w:rsidRPr="002B62C4">
              <w:rPr>
                <w:color w:val="000000"/>
                <w:sz w:val="20"/>
                <w:szCs w:val="20"/>
              </w:rPr>
              <w:t xml:space="preserve">656 546 </w:t>
            </w:r>
          </w:p>
        </w:tc>
      </w:tr>
      <w:tr w:rsidR="00CA5EF7" w:rsidRPr="002B62C4" w14:paraId="0E76FD5D" w14:textId="77777777" w:rsidTr="00DE5CBB">
        <w:trPr>
          <w:trHeight w:val="300"/>
        </w:trPr>
        <w:tc>
          <w:tcPr>
            <w:tcW w:w="5560" w:type="dxa"/>
            <w:noWrap/>
            <w:vAlign w:val="center"/>
            <w:hideMark/>
          </w:tcPr>
          <w:p w14:paraId="52407E52" w14:textId="77777777" w:rsidR="00CA5EF7" w:rsidRPr="002B62C4" w:rsidRDefault="00CA5EF7" w:rsidP="00DE5CBB">
            <w:pPr>
              <w:rPr>
                <w:color w:val="000000"/>
                <w:sz w:val="20"/>
                <w:szCs w:val="20"/>
                <w:lang w:val="en-US"/>
              </w:rPr>
            </w:pPr>
            <w:r w:rsidRPr="002B62C4">
              <w:rPr>
                <w:color w:val="000000"/>
                <w:sz w:val="20"/>
                <w:szCs w:val="20"/>
                <w:lang w:val="en-US"/>
              </w:rPr>
              <w:t>Fee for the use of surface water resources of the Kyrgyz Republic</w:t>
            </w:r>
          </w:p>
        </w:tc>
        <w:tc>
          <w:tcPr>
            <w:tcW w:w="1720" w:type="dxa"/>
            <w:noWrap/>
            <w:vAlign w:val="center"/>
            <w:hideMark/>
          </w:tcPr>
          <w:p w14:paraId="0F3AE835" w14:textId="77777777" w:rsidR="00CA5EF7" w:rsidRPr="002B62C4" w:rsidRDefault="00CA5EF7" w:rsidP="00DE5CBB">
            <w:pPr>
              <w:jc w:val="right"/>
              <w:rPr>
                <w:color w:val="000000"/>
                <w:sz w:val="20"/>
                <w:szCs w:val="20"/>
              </w:rPr>
            </w:pPr>
            <w:r w:rsidRPr="002B62C4">
              <w:rPr>
                <w:color w:val="000000"/>
                <w:sz w:val="20"/>
                <w:szCs w:val="20"/>
              </w:rPr>
              <w:t>2 795</w:t>
            </w:r>
          </w:p>
        </w:tc>
        <w:tc>
          <w:tcPr>
            <w:tcW w:w="2500" w:type="dxa"/>
            <w:noWrap/>
            <w:vAlign w:val="center"/>
            <w:hideMark/>
          </w:tcPr>
          <w:p w14:paraId="61EAF99E" w14:textId="77777777" w:rsidR="00CA5EF7" w:rsidRPr="002B62C4" w:rsidRDefault="00CA5EF7" w:rsidP="00DE5CBB">
            <w:pPr>
              <w:jc w:val="right"/>
              <w:rPr>
                <w:color w:val="000000"/>
                <w:sz w:val="20"/>
                <w:szCs w:val="20"/>
              </w:rPr>
            </w:pPr>
            <w:r w:rsidRPr="002B62C4">
              <w:rPr>
                <w:color w:val="000000"/>
                <w:sz w:val="20"/>
                <w:szCs w:val="20"/>
              </w:rPr>
              <w:t>244 422</w:t>
            </w:r>
          </w:p>
        </w:tc>
      </w:tr>
      <w:tr w:rsidR="00CA5EF7" w:rsidRPr="002B62C4" w14:paraId="10816609" w14:textId="77777777" w:rsidTr="00DE5CBB">
        <w:trPr>
          <w:trHeight w:val="300"/>
        </w:trPr>
        <w:tc>
          <w:tcPr>
            <w:tcW w:w="5560" w:type="dxa"/>
            <w:noWrap/>
            <w:vAlign w:val="center"/>
            <w:hideMark/>
          </w:tcPr>
          <w:p w14:paraId="05E29FE5" w14:textId="77777777" w:rsidR="00CA5EF7" w:rsidRPr="002B62C4" w:rsidRDefault="00CA5EF7" w:rsidP="00DE5CBB">
            <w:pPr>
              <w:rPr>
                <w:color w:val="000000"/>
                <w:sz w:val="20"/>
                <w:szCs w:val="20"/>
                <w:lang w:val="en-US"/>
              </w:rPr>
            </w:pPr>
            <w:r w:rsidRPr="002B62C4">
              <w:rPr>
                <w:color w:val="000000"/>
                <w:sz w:val="20"/>
                <w:szCs w:val="20"/>
                <w:lang w:val="en-US"/>
              </w:rPr>
              <w:t xml:space="preserve">Contribution to the Road Fund </w:t>
            </w:r>
          </w:p>
        </w:tc>
        <w:tc>
          <w:tcPr>
            <w:tcW w:w="1720" w:type="dxa"/>
            <w:noWrap/>
            <w:vAlign w:val="center"/>
            <w:hideMark/>
          </w:tcPr>
          <w:p w14:paraId="621CD620" w14:textId="77777777" w:rsidR="00CA5EF7" w:rsidRPr="002B62C4" w:rsidRDefault="00CA5EF7" w:rsidP="00DE5CBB">
            <w:pPr>
              <w:jc w:val="right"/>
              <w:rPr>
                <w:color w:val="000000"/>
                <w:sz w:val="20"/>
                <w:szCs w:val="20"/>
              </w:rPr>
            </w:pPr>
            <w:r w:rsidRPr="002B62C4">
              <w:rPr>
                <w:color w:val="000000"/>
                <w:sz w:val="20"/>
                <w:szCs w:val="20"/>
              </w:rPr>
              <w:t>1 196</w:t>
            </w:r>
          </w:p>
        </w:tc>
        <w:tc>
          <w:tcPr>
            <w:tcW w:w="2500" w:type="dxa"/>
            <w:noWrap/>
            <w:vAlign w:val="center"/>
            <w:hideMark/>
          </w:tcPr>
          <w:p w14:paraId="074F83D6" w14:textId="77777777" w:rsidR="00CA5EF7" w:rsidRPr="002B62C4" w:rsidRDefault="00CA5EF7" w:rsidP="00DE5CBB">
            <w:pPr>
              <w:jc w:val="right"/>
              <w:rPr>
                <w:color w:val="000000"/>
                <w:sz w:val="20"/>
                <w:szCs w:val="20"/>
              </w:rPr>
            </w:pPr>
            <w:r w:rsidRPr="002B62C4">
              <w:rPr>
                <w:color w:val="000000"/>
                <w:sz w:val="20"/>
                <w:szCs w:val="20"/>
              </w:rPr>
              <w:t>104 516</w:t>
            </w:r>
          </w:p>
        </w:tc>
      </w:tr>
      <w:tr w:rsidR="00CA5EF7" w:rsidRPr="002B62C4" w14:paraId="6D5955C1" w14:textId="77777777" w:rsidTr="00DE5CBB">
        <w:trPr>
          <w:trHeight w:val="300"/>
        </w:trPr>
        <w:tc>
          <w:tcPr>
            <w:tcW w:w="5560" w:type="dxa"/>
            <w:noWrap/>
            <w:vAlign w:val="center"/>
            <w:hideMark/>
          </w:tcPr>
          <w:p w14:paraId="4F343113" w14:textId="77777777" w:rsidR="00CA5EF7" w:rsidRPr="002B62C4" w:rsidRDefault="00CA5EF7" w:rsidP="00DE5CBB">
            <w:pPr>
              <w:rPr>
                <w:b/>
                <w:bCs/>
                <w:color w:val="000000"/>
                <w:sz w:val="20"/>
                <w:szCs w:val="20"/>
              </w:rPr>
            </w:pPr>
            <w:r w:rsidRPr="002B62C4">
              <w:rPr>
                <w:b/>
                <w:bCs/>
                <w:color w:val="000000"/>
                <w:sz w:val="20"/>
                <w:szCs w:val="20"/>
              </w:rPr>
              <w:t>Total:</w:t>
            </w:r>
          </w:p>
        </w:tc>
        <w:tc>
          <w:tcPr>
            <w:tcW w:w="1720" w:type="dxa"/>
            <w:noWrap/>
            <w:vAlign w:val="center"/>
            <w:hideMark/>
          </w:tcPr>
          <w:p w14:paraId="204B7C86" w14:textId="77777777" w:rsidR="00CA5EF7" w:rsidRPr="002B62C4" w:rsidRDefault="00CA5EF7" w:rsidP="00DE5CBB">
            <w:pPr>
              <w:jc w:val="right"/>
              <w:rPr>
                <w:b/>
                <w:bCs/>
                <w:color w:val="000000"/>
                <w:sz w:val="20"/>
                <w:szCs w:val="20"/>
              </w:rPr>
            </w:pPr>
            <w:r w:rsidRPr="002B62C4">
              <w:rPr>
                <w:b/>
                <w:bCs/>
                <w:color w:val="000000"/>
                <w:sz w:val="20"/>
                <w:szCs w:val="20"/>
              </w:rPr>
              <w:t>$246 507</w:t>
            </w:r>
          </w:p>
        </w:tc>
        <w:tc>
          <w:tcPr>
            <w:tcW w:w="2500" w:type="dxa"/>
            <w:noWrap/>
            <w:vAlign w:val="center"/>
            <w:hideMark/>
          </w:tcPr>
          <w:p w14:paraId="0AF4D343" w14:textId="77777777" w:rsidR="00CA5EF7" w:rsidRPr="002B62C4" w:rsidRDefault="00CA5EF7" w:rsidP="00DE5CBB">
            <w:pPr>
              <w:jc w:val="right"/>
              <w:rPr>
                <w:b/>
                <w:bCs/>
                <w:color w:val="000000"/>
                <w:sz w:val="20"/>
                <w:szCs w:val="20"/>
              </w:rPr>
            </w:pPr>
            <w:r w:rsidRPr="002B62C4">
              <w:rPr>
                <w:b/>
                <w:bCs/>
                <w:color w:val="000000"/>
                <w:sz w:val="20"/>
                <w:szCs w:val="20"/>
              </w:rPr>
              <w:t xml:space="preserve">21 521 664 </w:t>
            </w:r>
          </w:p>
        </w:tc>
      </w:tr>
    </w:tbl>
    <w:p w14:paraId="173BB198" w14:textId="77777777" w:rsidR="00CA5EF7" w:rsidRPr="002B62C4" w:rsidRDefault="00CA5EF7" w:rsidP="00CA5EF7">
      <w:pPr>
        <w:spacing w:after="160" w:line="259" w:lineRule="auto"/>
        <w:jc w:val="both"/>
        <w:rPr>
          <w:i/>
          <w:sz w:val="23"/>
          <w:szCs w:val="23"/>
          <w:lang w:val="en-US"/>
        </w:rPr>
      </w:pPr>
    </w:p>
    <w:p w14:paraId="6818DE05" w14:textId="7C4416C1" w:rsidR="00CA5EF7" w:rsidRPr="002B62C4" w:rsidRDefault="002C4722" w:rsidP="00CA5EF7">
      <w:pPr>
        <w:spacing w:after="160" w:line="259" w:lineRule="auto"/>
        <w:jc w:val="both"/>
        <w:rPr>
          <w:lang w:val="en-US"/>
        </w:rPr>
      </w:pPr>
      <w:r w:rsidRPr="002B62C4">
        <w:rPr>
          <w:i/>
          <w:sz w:val="23"/>
          <w:szCs w:val="23"/>
          <w:lang w:val="en-US"/>
        </w:rPr>
        <w:t>(</w:t>
      </w:r>
      <w:r w:rsidRPr="002B62C4">
        <w:rPr>
          <w:i/>
          <w:sz w:val="16"/>
          <w:szCs w:val="16"/>
          <w:lang w:val="en-US"/>
        </w:rPr>
        <w:t>*</w:t>
      </w:r>
      <w:r w:rsidRPr="002B62C4">
        <w:rPr>
          <w:i/>
          <w:sz w:val="23"/>
          <w:szCs w:val="23"/>
          <w:lang w:val="en-US"/>
        </w:rPr>
        <w:t>)</w:t>
      </w:r>
      <w:r w:rsidR="00CA5EF7" w:rsidRPr="002B62C4">
        <w:rPr>
          <w:i/>
          <w:sz w:val="23"/>
          <w:szCs w:val="23"/>
          <w:lang w:val="en-US"/>
        </w:rPr>
        <w:t xml:space="preserve"> </w:t>
      </w:r>
      <w:r w:rsidR="00CA5EF7" w:rsidRPr="002B62C4">
        <w:rPr>
          <w:i/>
          <w:sz w:val="16"/>
          <w:szCs w:val="16"/>
          <w:lang w:val="en-US"/>
        </w:rPr>
        <w:t xml:space="preserve">The basis for calculating gross income tax and contributions to the Issyk-Kul Oblast Development Fund in accordance with the Agreement on New Terms for the Kumtor Project dated April 24, 2009 is the actual cash receipts from the sale of products for the specified period. </w:t>
      </w:r>
    </w:p>
    <w:p w14:paraId="1D0A62CD" w14:textId="77777777" w:rsidR="00CA5EF7" w:rsidRPr="002B62C4" w:rsidRDefault="00CA5EF7" w:rsidP="00CA5EF7">
      <w:pPr>
        <w:spacing w:after="160" w:line="259" w:lineRule="auto"/>
        <w:jc w:val="both"/>
        <w:rPr>
          <w:rFonts w:cstheme="minorBidi"/>
          <w:b/>
          <w:bCs/>
          <w:lang w:val="en-US"/>
        </w:rPr>
      </w:pPr>
      <w:r w:rsidRPr="002B62C4">
        <w:rPr>
          <w:rFonts w:cstheme="minorBidi"/>
          <w:b/>
          <w:bCs/>
          <w:lang w:val="en-US"/>
        </w:rPr>
        <w:t>Dividends</w:t>
      </w:r>
    </w:p>
    <w:p w14:paraId="327D050D" w14:textId="77777777" w:rsidR="00CA5EF7" w:rsidRPr="002B62C4" w:rsidRDefault="00CA5EF7" w:rsidP="00CA5EF7">
      <w:pPr>
        <w:jc w:val="both"/>
        <w:rPr>
          <w:lang w:val="en-US"/>
        </w:rPr>
      </w:pPr>
      <w:r w:rsidRPr="002B62C4">
        <w:rPr>
          <w:lang w:val="en-US"/>
        </w:rPr>
        <w:t xml:space="preserve">Dividends of USD 150.0 million were paid for 2024 and dividends of USD 300.0 million were declared for 2025. </w:t>
      </w:r>
    </w:p>
    <w:p w14:paraId="01378E81" w14:textId="77777777" w:rsidR="00CA5EF7" w:rsidRPr="002B62C4" w:rsidRDefault="00CA5EF7" w:rsidP="00CA5EF7">
      <w:pPr>
        <w:spacing w:after="160" w:line="259" w:lineRule="auto"/>
        <w:jc w:val="both"/>
        <w:rPr>
          <w:rFonts w:cstheme="minorBidi"/>
          <w:b/>
          <w:i/>
          <w:lang w:val="en-US"/>
        </w:rPr>
      </w:pPr>
    </w:p>
    <w:p w14:paraId="4B62A8FA" w14:textId="77777777" w:rsidR="00CA5EF7" w:rsidRPr="002B62C4" w:rsidRDefault="00CA5EF7" w:rsidP="00CA5EF7">
      <w:pPr>
        <w:spacing w:after="160" w:line="259" w:lineRule="auto"/>
        <w:jc w:val="both"/>
        <w:rPr>
          <w:b/>
          <w:bCs/>
          <w:lang w:val="en-US"/>
        </w:rPr>
      </w:pPr>
      <w:r w:rsidRPr="002B62C4">
        <w:rPr>
          <w:b/>
          <w:bCs/>
          <w:lang w:val="en-US"/>
        </w:rPr>
        <w:t>Commentary</w:t>
      </w:r>
    </w:p>
    <w:p w14:paraId="22F96EEB" w14:textId="77777777" w:rsidR="00CA5EF7" w:rsidRPr="002B62C4" w:rsidRDefault="00CA5EF7" w:rsidP="00CA5EF7">
      <w:pPr>
        <w:pStyle w:val="HTMLPreformatted"/>
        <w:jc w:val="both"/>
        <w:rPr>
          <w:rFonts w:ascii="Times New Roman" w:hAnsi="Times New Roman" w:cs="Times New Roman"/>
          <w:sz w:val="24"/>
          <w:szCs w:val="24"/>
          <w:lang w:val="en-US"/>
        </w:rPr>
      </w:pPr>
      <w:r w:rsidRPr="002B62C4">
        <w:rPr>
          <w:rFonts w:ascii="Times New Roman" w:hAnsi="Times New Roman" w:cs="Times New Roman"/>
          <w:b/>
          <w:bCs/>
          <w:sz w:val="24"/>
          <w:szCs w:val="24"/>
          <w:lang w:val="en-US"/>
        </w:rPr>
        <w:t>The Kumtor mine</w:t>
      </w:r>
      <w:r w:rsidRPr="002B62C4">
        <w:rPr>
          <w:rFonts w:ascii="Times New Roman" w:hAnsi="Times New Roman" w:cs="Times New Roman"/>
          <w:sz w:val="24"/>
          <w:szCs w:val="24"/>
          <w:lang w:val="en-US"/>
        </w:rPr>
        <w:t xml:space="preserve">, located in the Kyrgyz Republic, is the largest gold mine in Central Asia, with a total of 15.4 million ounces of gold produced from the start of commercial production in May 1997 to December 31, 2024. </w:t>
      </w:r>
    </w:p>
    <w:p w14:paraId="5620E21F" w14:textId="77777777" w:rsidR="00CA5EF7" w:rsidRPr="002B62C4" w:rsidRDefault="00CA5EF7" w:rsidP="00CA5EF7">
      <w:pPr>
        <w:pStyle w:val="HTMLPreformatted"/>
        <w:jc w:val="both"/>
        <w:rPr>
          <w:rFonts w:ascii="Times New Roman" w:hAnsi="Times New Roman" w:cs="Times New Roman"/>
          <w:sz w:val="24"/>
          <w:szCs w:val="24"/>
          <w:lang w:val="en-US"/>
        </w:rPr>
      </w:pPr>
    </w:p>
    <w:p w14:paraId="468F944E" w14:textId="77777777" w:rsidR="00CA5EF7" w:rsidRPr="002B62C4" w:rsidRDefault="00CA5EF7" w:rsidP="00CA5E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val="en-US"/>
        </w:rPr>
      </w:pPr>
      <w:r w:rsidRPr="002B62C4">
        <w:rPr>
          <w:rFonts w:ascii="Times New Roman" w:hAnsi="Times New Roman" w:cs="Times New Roman"/>
          <w:sz w:val="24"/>
          <w:szCs w:val="24"/>
          <w:lang w:val="en-US"/>
        </w:rPr>
        <w:t>_______________________________________________________________________________</w:t>
      </w:r>
    </w:p>
    <w:p w14:paraId="0D395466" w14:textId="77777777" w:rsidR="00CA5EF7" w:rsidRPr="002B62C4" w:rsidRDefault="00CA5EF7" w:rsidP="00CA5EF7">
      <w:pPr>
        <w:pStyle w:val="NoSpacing"/>
        <w:jc w:val="center"/>
        <w:rPr>
          <w:b/>
          <w:bCs/>
          <w:sz w:val="20"/>
          <w:szCs w:val="20"/>
          <w:lang w:val="en-US"/>
        </w:rPr>
      </w:pPr>
      <w:r w:rsidRPr="002B62C4">
        <w:rPr>
          <w:b/>
          <w:bCs/>
          <w:sz w:val="20"/>
          <w:szCs w:val="20"/>
          <w:lang w:val="en-US"/>
        </w:rPr>
        <w:t>For more information, please contact the Media Relations Department</w:t>
      </w:r>
    </w:p>
    <w:p w14:paraId="6B677B48" w14:textId="77777777" w:rsidR="00CA5EF7" w:rsidRPr="002B62C4" w:rsidRDefault="00CA5EF7" w:rsidP="00CA5EF7">
      <w:pPr>
        <w:pStyle w:val="NoSpacing"/>
        <w:jc w:val="center"/>
        <w:rPr>
          <w:b/>
          <w:sz w:val="20"/>
          <w:szCs w:val="20"/>
          <w:lang w:val="en-US"/>
        </w:rPr>
      </w:pPr>
      <w:r w:rsidRPr="002B62C4">
        <w:rPr>
          <w:b/>
          <w:sz w:val="20"/>
          <w:szCs w:val="20"/>
          <w:lang w:val="en-US"/>
        </w:rPr>
        <w:t xml:space="preserve">Tel: (312) 90-07-07; 90-08-08; Fax: (312) 90-07-28 </w:t>
      </w:r>
    </w:p>
    <w:p w14:paraId="7BF17C21" w14:textId="77777777" w:rsidR="00CA5EF7" w:rsidRPr="00FB492C" w:rsidRDefault="00CA5EF7" w:rsidP="00CA5EF7">
      <w:pPr>
        <w:pStyle w:val="NoSpacing"/>
        <w:jc w:val="center"/>
        <w:rPr>
          <w:b/>
          <w:bCs/>
          <w:sz w:val="20"/>
          <w:szCs w:val="20"/>
          <w:lang w:val="en-US"/>
        </w:rPr>
      </w:pPr>
      <w:r w:rsidRPr="002B62C4">
        <w:rPr>
          <w:sz w:val="20"/>
          <w:szCs w:val="20"/>
          <w:lang w:val="en-US"/>
        </w:rPr>
        <w:t xml:space="preserve">- </w:t>
      </w:r>
      <w:r w:rsidRPr="002B62C4">
        <w:rPr>
          <w:b/>
          <w:sz w:val="20"/>
          <w:szCs w:val="20"/>
          <w:lang w:val="en-US"/>
        </w:rPr>
        <w:t>End of message</w:t>
      </w:r>
      <w:r w:rsidRPr="002B62C4">
        <w:rPr>
          <w:sz w:val="20"/>
          <w:szCs w:val="20"/>
          <w:lang w:val="en-US"/>
        </w:rPr>
        <w:t xml:space="preserve"> -</w:t>
      </w:r>
      <w:r w:rsidRPr="00FB492C">
        <w:rPr>
          <w:sz w:val="20"/>
          <w:szCs w:val="20"/>
          <w:lang w:val="en-US"/>
        </w:rPr>
        <w:t xml:space="preserve">   </w:t>
      </w:r>
    </w:p>
    <w:p w14:paraId="7A33EB4E" w14:textId="77777777" w:rsidR="00CA5EF7" w:rsidRPr="00B729D6" w:rsidRDefault="00CA5EF7" w:rsidP="00CA5EF7">
      <w:pPr>
        <w:pStyle w:val="NoSpacing"/>
        <w:spacing w:after="120"/>
        <w:jc w:val="both"/>
        <w:rPr>
          <w:color w:val="FF0000"/>
          <w:lang w:val="ky-KG"/>
        </w:rPr>
      </w:pPr>
    </w:p>
    <w:p w14:paraId="6A2D5396" w14:textId="6E97E762" w:rsidR="00B67AF2" w:rsidRPr="00FB492C" w:rsidRDefault="00B67AF2">
      <w:pPr>
        <w:rPr>
          <w:lang w:val="en-US"/>
        </w:rPr>
      </w:pPr>
    </w:p>
    <w:sectPr w:rsidR="00B67AF2" w:rsidRPr="00FB492C" w:rsidSect="00CA5EF7">
      <w:footerReference w:type="default" r:id="rId6"/>
      <w:pgSz w:w="12240" w:h="15840"/>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BC10" w14:textId="77777777" w:rsidR="00470FE7" w:rsidRDefault="00470FE7">
      <w:r>
        <w:separator/>
      </w:r>
    </w:p>
  </w:endnote>
  <w:endnote w:type="continuationSeparator" w:id="0">
    <w:p w14:paraId="619A5998" w14:textId="77777777" w:rsidR="00470FE7" w:rsidRDefault="0047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886435"/>
      <w:docPartObj>
        <w:docPartGallery w:val="Page Numbers (Bottom of Page)"/>
        <w:docPartUnique/>
      </w:docPartObj>
    </w:sdtPr>
    <w:sdtEndPr>
      <w:rPr>
        <w:noProof/>
      </w:rPr>
    </w:sdtEndPr>
    <w:sdtContent>
      <w:p w14:paraId="34D71024" w14:textId="77777777" w:rsidR="00CA5EF7" w:rsidRDefault="00CA5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92F1D8" w14:textId="77777777" w:rsidR="00CA5EF7" w:rsidRDefault="00CA5E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2770" w14:textId="77777777" w:rsidR="00470FE7" w:rsidRDefault="00470FE7">
      <w:r>
        <w:separator/>
      </w:r>
    </w:p>
  </w:footnote>
  <w:footnote w:type="continuationSeparator" w:id="0">
    <w:p w14:paraId="07CE570C" w14:textId="77777777" w:rsidR="00470FE7" w:rsidRDefault="00470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F7"/>
    <w:rsid w:val="00010F05"/>
    <w:rsid w:val="00052474"/>
    <w:rsid w:val="00075B8E"/>
    <w:rsid w:val="00096494"/>
    <w:rsid w:val="000A54A0"/>
    <w:rsid w:val="000B5F28"/>
    <w:rsid w:val="000C7CE9"/>
    <w:rsid w:val="001B1771"/>
    <w:rsid w:val="001F64FC"/>
    <w:rsid w:val="002B62C4"/>
    <w:rsid w:val="002C4722"/>
    <w:rsid w:val="002F3EF6"/>
    <w:rsid w:val="003329A9"/>
    <w:rsid w:val="00463633"/>
    <w:rsid w:val="00470FE7"/>
    <w:rsid w:val="00496F0B"/>
    <w:rsid w:val="004A500E"/>
    <w:rsid w:val="005770C6"/>
    <w:rsid w:val="00683814"/>
    <w:rsid w:val="006F6049"/>
    <w:rsid w:val="00720900"/>
    <w:rsid w:val="00802CAA"/>
    <w:rsid w:val="00845CA3"/>
    <w:rsid w:val="009F70AA"/>
    <w:rsid w:val="00A24219"/>
    <w:rsid w:val="00B602B6"/>
    <w:rsid w:val="00B67AF2"/>
    <w:rsid w:val="00BD2F5C"/>
    <w:rsid w:val="00C141D7"/>
    <w:rsid w:val="00CA5EF7"/>
    <w:rsid w:val="00CF2C5F"/>
    <w:rsid w:val="00D126DA"/>
    <w:rsid w:val="00D30572"/>
    <w:rsid w:val="00D627DA"/>
    <w:rsid w:val="00D83A9A"/>
    <w:rsid w:val="00E35E18"/>
    <w:rsid w:val="00E44558"/>
    <w:rsid w:val="00E459C4"/>
    <w:rsid w:val="00EF7ADC"/>
    <w:rsid w:val="00F501B1"/>
    <w:rsid w:val="00FB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8B8B"/>
  <w15:chartTrackingRefBased/>
  <w15:docId w15:val="{D370229F-6EC3-4915-ADC3-37A682E8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EF7"/>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CA5EF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A5EF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A5EF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A5EF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A5EF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A5EF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A5EF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A5EF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A5EF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EF7"/>
    <w:rPr>
      <w:rFonts w:eastAsiaTheme="majorEastAsia" w:cstheme="majorBidi"/>
      <w:color w:val="272727" w:themeColor="text1" w:themeTint="D8"/>
    </w:rPr>
  </w:style>
  <w:style w:type="paragraph" w:styleId="Title">
    <w:name w:val="Title"/>
    <w:basedOn w:val="Normal"/>
    <w:next w:val="Normal"/>
    <w:link w:val="TitleChar"/>
    <w:uiPriority w:val="10"/>
    <w:qFormat/>
    <w:rsid w:val="00CA5EF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A5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EF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A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EF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A5EF7"/>
    <w:rPr>
      <w:i/>
      <w:iCs/>
      <w:color w:val="404040" w:themeColor="text1" w:themeTint="BF"/>
    </w:rPr>
  </w:style>
  <w:style w:type="paragraph" w:styleId="ListParagraph">
    <w:name w:val="List Paragraph"/>
    <w:basedOn w:val="Normal"/>
    <w:uiPriority w:val="34"/>
    <w:qFormat/>
    <w:rsid w:val="00CA5EF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A5EF7"/>
    <w:rPr>
      <w:i/>
      <w:iCs/>
      <w:color w:val="0F4761" w:themeColor="accent1" w:themeShade="BF"/>
    </w:rPr>
  </w:style>
  <w:style w:type="paragraph" w:styleId="IntenseQuote">
    <w:name w:val="Intense Quote"/>
    <w:basedOn w:val="Normal"/>
    <w:next w:val="Normal"/>
    <w:link w:val="IntenseQuoteChar"/>
    <w:uiPriority w:val="30"/>
    <w:qFormat/>
    <w:rsid w:val="00CA5EF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A5EF7"/>
    <w:rPr>
      <w:i/>
      <w:iCs/>
      <w:color w:val="0F4761" w:themeColor="accent1" w:themeShade="BF"/>
    </w:rPr>
  </w:style>
  <w:style w:type="character" w:styleId="IntenseReference">
    <w:name w:val="Intense Reference"/>
    <w:basedOn w:val="DefaultParagraphFont"/>
    <w:uiPriority w:val="32"/>
    <w:qFormat/>
    <w:rsid w:val="00CA5EF7"/>
    <w:rPr>
      <w:b/>
      <w:bCs/>
      <w:smallCaps/>
      <w:color w:val="0F4761" w:themeColor="accent1" w:themeShade="BF"/>
      <w:spacing w:val="5"/>
    </w:rPr>
  </w:style>
  <w:style w:type="paragraph" w:styleId="Footer">
    <w:name w:val="footer"/>
    <w:basedOn w:val="Normal"/>
    <w:link w:val="FooterChar"/>
    <w:uiPriority w:val="99"/>
    <w:unhideWhenUsed/>
    <w:rsid w:val="00CA5EF7"/>
    <w:pPr>
      <w:tabs>
        <w:tab w:val="center" w:pos="4844"/>
        <w:tab w:val="right" w:pos="9689"/>
      </w:tabs>
    </w:pPr>
  </w:style>
  <w:style w:type="character" w:customStyle="1" w:styleId="FooterChar">
    <w:name w:val="Footer Char"/>
    <w:basedOn w:val="DefaultParagraphFont"/>
    <w:link w:val="Footer"/>
    <w:uiPriority w:val="99"/>
    <w:rsid w:val="00CA5EF7"/>
    <w:rPr>
      <w:rFonts w:ascii="Times New Roman" w:eastAsia="Times New Roman" w:hAnsi="Times New Roman" w:cs="Times New Roman"/>
      <w:kern w:val="0"/>
      <w:sz w:val="24"/>
      <w:szCs w:val="24"/>
      <w:lang w:eastAsia="ru-RU"/>
      <w14:ligatures w14:val="none"/>
    </w:rPr>
  </w:style>
  <w:style w:type="paragraph" w:customStyle="1" w:styleId="Default">
    <w:name w:val="Default"/>
    <w:rsid w:val="00CA5EF7"/>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NoSpacing">
    <w:name w:val="No Spacing"/>
    <w:uiPriority w:val="1"/>
    <w:qFormat/>
    <w:rsid w:val="00CA5EF7"/>
    <w:pPr>
      <w:spacing w:after="0" w:line="240" w:lineRule="auto"/>
    </w:pPr>
    <w:rPr>
      <w:rFonts w:ascii="Times New Roman" w:eastAsia="Times New Roman" w:hAnsi="Times New Roman" w:cs="Times New Roman"/>
      <w:kern w:val="0"/>
      <w:sz w:val="24"/>
      <w:szCs w:val="24"/>
      <w:lang w:eastAsia="ru-RU"/>
      <w14:ligatures w14:val="none"/>
    </w:rPr>
  </w:style>
  <w:style w:type="paragraph" w:styleId="HTMLPreformatted">
    <w:name w:val="HTML Preformatted"/>
    <w:basedOn w:val="Normal"/>
    <w:link w:val="HTMLPreformattedChar"/>
    <w:rsid w:val="00CA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EF7"/>
    <w:rPr>
      <w:rFonts w:ascii="Courier New" w:eastAsia="Times New Roman" w:hAnsi="Courier New" w:cs="Courier New"/>
      <w:kern w:val="0"/>
      <w:sz w:val="20"/>
      <w:szCs w:val="20"/>
      <w:lang w:eastAsia="ru-RU"/>
      <w14:ligatures w14:val="none"/>
    </w:rPr>
  </w:style>
  <w:style w:type="character" w:styleId="CommentReference">
    <w:name w:val="annotation reference"/>
    <w:basedOn w:val="DefaultParagraphFont"/>
    <w:uiPriority w:val="99"/>
    <w:semiHidden/>
    <w:unhideWhenUsed/>
    <w:rsid w:val="00052474"/>
    <w:rPr>
      <w:sz w:val="16"/>
      <w:szCs w:val="16"/>
    </w:rPr>
  </w:style>
  <w:style w:type="paragraph" w:styleId="CommentText">
    <w:name w:val="annotation text"/>
    <w:basedOn w:val="Normal"/>
    <w:link w:val="CommentTextChar"/>
    <w:uiPriority w:val="99"/>
    <w:unhideWhenUsed/>
    <w:rsid w:val="00052474"/>
    <w:rPr>
      <w:sz w:val="20"/>
      <w:szCs w:val="20"/>
    </w:rPr>
  </w:style>
  <w:style w:type="character" w:customStyle="1" w:styleId="CommentTextChar">
    <w:name w:val="Comment Text Char"/>
    <w:basedOn w:val="DefaultParagraphFont"/>
    <w:link w:val="CommentText"/>
    <w:uiPriority w:val="99"/>
    <w:rsid w:val="00052474"/>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052474"/>
    <w:rPr>
      <w:b/>
      <w:bCs/>
    </w:rPr>
  </w:style>
  <w:style w:type="character" w:customStyle="1" w:styleId="CommentSubjectChar">
    <w:name w:val="Comment Subject Char"/>
    <w:basedOn w:val="CommentTextChar"/>
    <w:link w:val="CommentSubject"/>
    <w:uiPriority w:val="99"/>
    <w:semiHidden/>
    <w:rsid w:val="00052474"/>
    <w:rPr>
      <w:rFonts w:ascii="Times New Roman" w:eastAsia="Times New Roman" w:hAnsi="Times New Roman" w:cs="Times New Roman"/>
      <w:b/>
      <w:bCs/>
      <w:kern w:val="0"/>
      <w:sz w:val="20"/>
      <w:szCs w:val="20"/>
      <w:lang w:eastAsia="ru-RU"/>
      <w14:ligatures w14:val="none"/>
    </w:rPr>
  </w:style>
  <w:style w:type="character" w:styleId="PlaceholderText">
    <w:name w:val="Placeholder Text"/>
    <w:basedOn w:val="DefaultParagraphFont"/>
    <w:uiPriority w:val="99"/>
    <w:semiHidden/>
    <w:rsid w:val="00845C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1588</Words>
  <Characters>8243</Characters>
  <Application>Microsoft Office Word</Application>
  <DocSecurity>0</DocSecurity>
  <Lines>235</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Bakytbek Mayliev</dc:creator>
  <cp:keywords/>
  <dc:description/>
  <cp:lastModifiedBy>Nurbek Rabidinov</cp:lastModifiedBy>
  <cp:revision>20</cp:revision>
  <dcterms:created xsi:type="dcterms:W3CDTF">2026-05-13T09:11:00Z</dcterms:created>
  <dcterms:modified xsi:type="dcterms:W3CDTF">2026-05-26T09:53:00Z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2026-05-13T09:13:20Z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c3c01579-b7f4-4ca9-8db1-1f7d6a064455</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