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6474B" w14:textId="77777777" w:rsidR="00CA5EF7" w:rsidRPr="000B65F5" w:rsidRDefault="00CA5EF7" w:rsidP="00CA5EF7">
      <w:pPr>
        <w:jc w:val="center"/>
        <w:rPr>
          <w:b/>
          <w:bCs/>
          <w:sz w:val="28"/>
          <w:szCs w:val="28"/>
        </w:rPr>
      </w:pPr>
      <w:r w:rsidRPr="000B65F5">
        <w:rPr>
          <w:b/>
          <w:bCs/>
          <w:sz w:val="28"/>
          <w:szCs w:val="28"/>
        </w:rPr>
        <w:t>Производственные результаты за 202</w:t>
      </w:r>
      <w:r>
        <w:rPr>
          <w:b/>
          <w:bCs/>
          <w:sz w:val="28"/>
          <w:szCs w:val="28"/>
        </w:rPr>
        <w:t>5</w:t>
      </w:r>
      <w:r w:rsidRPr="000B65F5">
        <w:rPr>
          <w:b/>
          <w:bCs/>
          <w:sz w:val="28"/>
          <w:szCs w:val="28"/>
        </w:rPr>
        <w:t xml:space="preserve"> год</w:t>
      </w:r>
      <w:r w:rsidRPr="000B65F5">
        <w:rPr>
          <w:b/>
          <w:bCs/>
          <w:sz w:val="28"/>
          <w:szCs w:val="28"/>
        </w:rPr>
        <w:tab/>
      </w:r>
    </w:p>
    <w:p w14:paraId="4159E395" w14:textId="77777777" w:rsidR="00CA5EF7" w:rsidRPr="000B65F5" w:rsidRDefault="00CA5EF7" w:rsidP="00CA5EF7">
      <w:pPr>
        <w:ind w:firstLine="720"/>
        <w:jc w:val="both"/>
      </w:pPr>
      <w:r w:rsidRPr="000B65F5">
        <w:rPr>
          <w:b/>
          <w:bCs/>
          <w:sz w:val="28"/>
          <w:szCs w:val="28"/>
        </w:rPr>
        <w:tab/>
      </w:r>
    </w:p>
    <w:p w14:paraId="307CB514" w14:textId="77777777" w:rsidR="00CA5EF7" w:rsidRPr="000B65F5" w:rsidRDefault="00CA5EF7" w:rsidP="00CA5EF7">
      <w:pPr>
        <w:jc w:val="center"/>
        <w:rPr>
          <w:color w:val="0070C0"/>
          <w:sz w:val="16"/>
          <w:szCs w:val="16"/>
        </w:rPr>
      </w:pPr>
    </w:p>
    <w:p w14:paraId="3B3B93F6" w14:textId="77777777" w:rsidR="00CA5EF7" w:rsidRPr="00C16286" w:rsidRDefault="00CA5EF7" w:rsidP="00CA5EF7">
      <w:pPr>
        <w:jc w:val="both"/>
        <w:rPr>
          <w:b/>
          <w:bCs/>
          <w:i/>
          <w:iCs/>
        </w:rPr>
      </w:pPr>
      <w:r w:rsidRPr="00C16286">
        <w:rPr>
          <w:b/>
          <w:bCs/>
          <w:i/>
          <w:iCs/>
        </w:rPr>
        <w:t xml:space="preserve">ЗАО «Кумтор Голд Компани» (далее «КГК») подвело итоги работы за 2025 год. На месторождении «Кумтор» произведено 388 418 унций, что составляет 12 081 кг золота. За 2025 год платежи в бюджет Кыргызской Республики в виде налогов, отчислений в Социальный фонд Кыргызской Республики и других обязательных платежей, предусмотренных Пересмотренным инвестиционным соглашением (ПИС), составили 246 507 тыс. долл. США (21,5 млрд сомов). </w:t>
      </w:r>
    </w:p>
    <w:p w14:paraId="77A81A15" w14:textId="77777777" w:rsidR="00CA5EF7" w:rsidRPr="00601A22" w:rsidRDefault="00CA5EF7" w:rsidP="00CA5EF7">
      <w:pPr>
        <w:jc w:val="both"/>
        <w:rPr>
          <w:b/>
          <w:i/>
        </w:rPr>
      </w:pPr>
    </w:p>
    <w:p w14:paraId="06FD900B" w14:textId="77777777" w:rsidR="00CA5EF7" w:rsidRPr="000B65F5" w:rsidRDefault="00CA5EF7" w:rsidP="00CA5EF7">
      <w:pPr>
        <w:jc w:val="both"/>
        <w:rPr>
          <w:b/>
          <w:bCs/>
          <w:i/>
          <w:iCs/>
          <w:sz w:val="16"/>
          <w:szCs w:val="16"/>
        </w:rPr>
      </w:pPr>
    </w:p>
    <w:p w14:paraId="488BA593" w14:textId="77777777" w:rsidR="00CA5EF7" w:rsidRDefault="00CA5EF7" w:rsidP="00CA5EF7">
      <w:pPr>
        <w:pStyle w:val="Default"/>
        <w:spacing w:after="120"/>
        <w:jc w:val="both"/>
        <w:rPr>
          <w:b/>
          <w:bCs/>
          <w:color w:val="auto"/>
          <w:lang w:val="ru-RU"/>
        </w:rPr>
      </w:pPr>
      <w:r w:rsidRPr="000B65F5">
        <w:rPr>
          <w:b/>
          <w:bCs/>
          <w:color w:val="auto"/>
          <w:lang w:val="ru-RU"/>
        </w:rPr>
        <w:t>Знаковые события 202</w:t>
      </w:r>
      <w:r w:rsidRPr="00B80B68">
        <w:rPr>
          <w:b/>
          <w:bCs/>
          <w:color w:val="auto"/>
          <w:lang w:val="ru-RU"/>
        </w:rPr>
        <w:t>5</w:t>
      </w:r>
      <w:r w:rsidRPr="000B65F5">
        <w:rPr>
          <w:b/>
          <w:bCs/>
          <w:color w:val="auto"/>
          <w:lang w:val="ru-RU"/>
        </w:rPr>
        <w:t xml:space="preserve"> года в деятельности КГК</w:t>
      </w:r>
    </w:p>
    <w:p w14:paraId="305BDF5B" w14:textId="77777777" w:rsidR="00CA5EF7" w:rsidRPr="007B1801" w:rsidRDefault="00CA5EF7" w:rsidP="00CA5EF7">
      <w:pPr>
        <w:widowControl w:val="0"/>
        <w:spacing w:before="240"/>
        <w:ind w:firstLine="720"/>
        <w:jc w:val="both"/>
        <w:rPr>
          <w:iCs/>
        </w:rPr>
      </w:pPr>
      <w:r w:rsidRPr="007B1801">
        <w:t xml:space="preserve">24 </w:t>
      </w:r>
      <w:r w:rsidRPr="007B1801">
        <w:rPr>
          <w:iCs/>
        </w:rPr>
        <w:t xml:space="preserve">апреля 2025 года состоялось третье с момента перехода 100% акций КГК ОАО «Кыргызалтын» Годовое общее собрание акционеров, на котором утвержден бюджет, план работ КГК на 2025 год и принято решение по распределению дивидендов на сумму 150 000 000 долл. США в пользу Кыргызской Республики. А также </w:t>
      </w:r>
      <w:proofErr w:type="spellStart"/>
      <w:r w:rsidRPr="007B1801">
        <w:rPr>
          <w:iCs/>
        </w:rPr>
        <w:t>ОсОО</w:t>
      </w:r>
      <w:proofErr w:type="spellEnd"/>
      <w:r w:rsidRPr="007B1801">
        <w:rPr>
          <w:iCs/>
        </w:rPr>
        <w:t xml:space="preserve"> «Эрнст энд Янг Аудит» утвержден в качестве независимого аудитора общества на 2025 год.</w:t>
      </w:r>
    </w:p>
    <w:p w14:paraId="4F946F90" w14:textId="771C0044" w:rsidR="00CA5EF7" w:rsidRPr="007B1801" w:rsidRDefault="00CA5EF7" w:rsidP="00CA5EF7">
      <w:pPr>
        <w:jc w:val="both"/>
      </w:pPr>
      <w:r w:rsidRPr="007B1801">
        <w:rPr>
          <w:iCs/>
        </w:rPr>
        <w:tab/>
      </w:r>
      <w:r w:rsidRPr="007B1801">
        <w:t>В рамках выполнения работ по переоценке запасов месторождения Кумтор</w:t>
      </w:r>
      <w:r w:rsidR="00A24219" w:rsidRPr="007B1801">
        <w:t xml:space="preserve"> начаты работы </w:t>
      </w:r>
      <w:r w:rsidRPr="007B1801">
        <w:t>с</w:t>
      </w:r>
      <w:r w:rsidR="00A24219" w:rsidRPr="007B1801">
        <w:t xml:space="preserve"> привлечением</w:t>
      </w:r>
      <w:r w:rsidRPr="007B1801">
        <w:t xml:space="preserve"> проектной организацией ПИЦ «Кен-</w:t>
      </w:r>
      <w:proofErr w:type="spellStart"/>
      <w:r w:rsidRPr="007B1801">
        <w:t>Тоо</w:t>
      </w:r>
      <w:proofErr w:type="spellEnd"/>
      <w:r w:rsidRPr="007B1801">
        <w:t xml:space="preserve">» на выполнение: «Геологического отчета о результатах проведенных геологоразведочных работ в 2020–2025 годах с расчетом кондиций и подсчетом запасов для открытой разработки месторождения Кумтор на участке Центральный по состоянию на 01.01.2026». </w:t>
      </w:r>
      <w:r w:rsidR="00A24219" w:rsidRPr="007B1801">
        <w:t>В рамках составления</w:t>
      </w:r>
      <w:r w:rsidRPr="007B1801">
        <w:t xml:space="preserve"> отчета буд</w:t>
      </w:r>
      <w:r w:rsidR="00A24219" w:rsidRPr="007B1801">
        <w:t xml:space="preserve">ут произведены </w:t>
      </w:r>
      <w:r w:rsidRPr="007B1801">
        <w:t>расчет</w:t>
      </w:r>
      <w:r w:rsidR="00A24219" w:rsidRPr="007B1801">
        <w:t>ы</w:t>
      </w:r>
      <w:r w:rsidRPr="007B1801">
        <w:t xml:space="preserve"> промышленных кондиций, в том числе и бортового содержания золота.</w:t>
      </w:r>
    </w:p>
    <w:p w14:paraId="0C88C86C" w14:textId="77777777" w:rsidR="00CA5EF7" w:rsidRPr="007B1801" w:rsidRDefault="00CA5EF7" w:rsidP="00CA5EF7">
      <w:pPr>
        <w:ind w:firstLine="720"/>
        <w:jc w:val="both"/>
      </w:pPr>
      <w:r w:rsidRPr="007B1801">
        <w:t>«Кумтор Голд Компани» проводит работы по анализу сейсмического воздействия от взрывов на борта карьера с одним из ведущих зарубежных компаний в области геомеханики Mining One, в целях сохранения устойчивости и уменьшения негативного влияния взрывов на борта карьера.</w:t>
      </w:r>
    </w:p>
    <w:p w14:paraId="767D9A4B" w14:textId="77777777" w:rsidR="00CA5EF7" w:rsidRPr="007B1801" w:rsidRDefault="00CA5EF7" w:rsidP="00CA5EF7">
      <w:pPr>
        <w:ind w:firstLine="720"/>
        <w:jc w:val="both"/>
      </w:pPr>
      <w:r w:rsidRPr="007B1801">
        <w:t xml:space="preserve">Ведутся работы с зарубежной консалтинговой компанией Global </w:t>
      </w:r>
      <w:proofErr w:type="spellStart"/>
      <w:r w:rsidRPr="007B1801">
        <w:t>Geological</w:t>
      </w:r>
      <w:proofErr w:type="spellEnd"/>
      <w:r w:rsidRPr="007B1801">
        <w:t xml:space="preserve"> Services Limited (GGSL) на структурное картирование и обновление геолого-структурной модели рудника. </w:t>
      </w:r>
    </w:p>
    <w:p w14:paraId="32CEDD2E" w14:textId="77777777" w:rsidR="00CA5EF7" w:rsidRPr="009D7507" w:rsidRDefault="00CA5EF7" w:rsidP="00CA5EF7">
      <w:pPr>
        <w:ind w:firstLine="720"/>
        <w:jc w:val="both"/>
      </w:pPr>
      <w:r w:rsidRPr="007B1801">
        <w:t>Продление срока эксплуатации рудника осуществляется в рамках технического проекта, направленного на оптимизацию производственных процессов и расширение рабочих зон</w:t>
      </w:r>
      <w:r w:rsidRPr="009D7507">
        <w:t>, что обеспечивает устойчивое развитие и увеличение ресурсной базы рудника Кумтор.</w:t>
      </w:r>
    </w:p>
    <w:p w14:paraId="609D97D1" w14:textId="77777777" w:rsidR="00CA5EF7" w:rsidRPr="009D7507" w:rsidRDefault="00CA5EF7" w:rsidP="00CA5EF7">
      <w:pPr>
        <w:ind w:firstLine="720"/>
        <w:jc w:val="both"/>
      </w:pPr>
      <w:r w:rsidRPr="009D7507">
        <w:t>Карьер Юго</w:t>
      </w:r>
      <w:r w:rsidRPr="009D7507">
        <w:noBreakHyphen/>
        <w:t xml:space="preserve">Запад был отработан безопасно и с опережением плана. В период интенсивного притока талых вод с ледника </w:t>
      </w:r>
      <w:proofErr w:type="spellStart"/>
      <w:r w:rsidRPr="009D7507">
        <w:t>Сарытор</w:t>
      </w:r>
      <w:proofErr w:type="spellEnd"/>
      <w:r w:rsidRPr="009D7507">
        <w:t xml:space="preserve"> проектная система водоотлива обеспечила устойчивость бортов, сохранность транспортных горизонтов и бесперебойное ведение горных работ.</w:t>
      </w:r>
    </w:p>
    <w:p w14:paraId="18D60472" w14:textId="77777777" w:rsidR="00CA5EF7" w:rsidRPr="007B1801" w:rsidRDefault="00CA5EF7" w:rsidP="00CA5EF7">
      <w:pPr>
        <w:ind w:firstLine="720"/>
        <w:jc w:val="both"/>
      </w:pPr>
      <w:r w:rsidRPr="009D7507">
        <w:t xml:space="preserve">Завершаются работы по внедрению системы автоматизации учета топлива на руднике Кумтор и в </w:t>
      </w:r>
      <w:proofErr w:type="spellStart"/>
      <w:r w:rsidRPr="009D7507">
        <w:t>Балыкчинской</w:t>
      </w:r>
      <w:proofErr w:type="spellEnd"/>
      <w:r w:rsidRPr="009D7507">
        <w:t xml:space="preserve"> Перевалочной Базе. В рамках проекта установлены электронные счетчики прихода, расхода и перемещения </w:t>
      </w:r>
      <w:r w:rsidRPr="007B1801">
        <w:t>топлива, внедрены приборы для отображения текущего уровня в резервуарах в режиме реального времени, а также программное обеспечение для централизованного электронного учета. Это позволит повысить точность управления ресурсами, снизить издержки и минимизировать влияние человеческого фактора.</w:t>
      </w:r>
    </w:p>
    <w:p w14:paraId="657542E2" w14:textId="77777777" w:rsidR="00CA5EF7" w:rsidRPr="007B1801" w:rsidRDefault="00CA5EF7" w:rsidP="00CA5EF7">
      <w:pPr>
        <w:ind w:firstLine="720"/>
        <w:jc w:val="both"/>
      </w:pPr>
      <w:r w:rsidRPr="007B1801">
        <w:t>Со стороны УТО начата консолидация и подготовка к передаче отработанного масла в отдел БВР для дальнейшего промышленного использования в составе взрывчатых веществ, что позволит заменить часть дизельного топлива при их приготовлении и повысить эффективность процесса.</w:t>
      </w:r>
    </w:p>
    <w:p w14:paraId="64F2C724" w14:textId="77777777" w:rsidR="00CA5EF7" w:rsidRPr="009D7507" w:rsidRDefault="00CA5EF7" w:rsidP="00CA5EF7">
      <w:pPr>
        <w:ind w:firstLine="720"/>
        <w:jc w:val="both"/>
      </w:pPr>
      <w:r w:rsidRPr="007B1801">
        <w:t>В 2025 году в рамках программы планового обновления парка введен в эксплуатацию комплекс новой горной, вспомогательной и сервисной техники, включая буровые установки, карьерное оборудование, спецтехнику, генераторы и оборудование для ремонтных служб. Обновление направлено на поддержание целевых показателей технической готовности</w:t>
      </w:r>
      <w:r w:rsidRPr="009D7507">
        <w:t>, повышение надежности и эффективности производственных процессов.</w:t>
      </w:r>
    </w:p>
    <w:p w14:paraId="50CE9C46" w14:textId="4EB38485" w:rsidR="00CA5EF7" w:rsidRPr="00CA5EF7" w:rsidRDefault="00CA5EF7" w:rsidP="00CA5EF7">
      <w:pPr>
        <w:ind w:firstLine="720"/>
        <w:jc w:val="both"/>
      </w:pPr>
      <w:r w:rsidRPr="00CF4C2A">
        <w:lastRenderedPageBreak/>
        <w:t xml:space="preserve">В течение 2025 года отдел подземной разработки обеспечил существенный прогресс в реализации подземного проекта. По залежам Седловина (SD) и Штокверк (SW) компания </w:t>
      </w:r>
      <w:r w:rsidRPr="00CF4C2A">
        <w:rPr>
          <w:b/>
          <w:bCs/>
        </w:rPr>
        <w:t>Mining One</w:t>
      </w:r>
      <w:r w:rsidRPr="00CF4C2A">
        <w:t xml:space="preserve"> завершила подготовку ТЭО, подтвердив техническую и экономическую жизнеспособность отработки участков. Полученные результаты стали основой для дальнейшего планирования, оптимизации горных работ и уточнения стратегии развития подземной добычи</w:t>
      </w:r>
      <w:r w:rsidRPr="00CA5EF7">
        <w:t>.</w:t>
      </w:r>
    </w:p>
    <w:p w14:paraId="214E0E5C" w14:textId="77777777" w:rsidR="00CA5EF7" w:rsidRPr="009D7507" w:rsidRDefault="00CA5EF7" w:rsidP="00CA5EF7">
      <w:pPr>
        <w:ind w:firstLine="720"/>
        <w:jc w:val="both"/>
      </w:pPr>
      <w:r w:rsidRPr="009D7507">
        <w:t xml:space="preserve">Производственные показатели также достигли значимых результатов: выполнена проходка в объеме 1 </w:t>
      </w:r>
      <w:r w:rsidRPr="008B605E">
        <w:t>902</w:t>
      </w:r>
      <w:r w:rsidRPr="009D7507">
        <w:t xml:space="preserve"> погонных метров</w:t>
      </w:r>
      <w:r w:rsidRPr="008B605E">
        <w:t>,</w:t>
      </w:r>
      <w:r w:rsidRPr="00907C6E">
        <w:t xml:space="preserve"> </w:t>
      </w:r>
      <w:r>
        <w:t>за 2024 год – 460 метров</w:t>
      </w:r>
      <w:r w:rsidRPr="009D7507">
        <w:t xml:space="preserve">. Завершено </w:t>
      </w:r>
      <w:proofErr w:type="spellStart"/>
      <w:r w:rsidRPr="00315CB1">
        <w:t>Scoping</w:t>
      </w:r>
      <w:proofErr w:type="spellEnd"/>
      <w:r w:rsidRPr="009D7507">
        <w:t xml:space="preserve"> </w:t>
      </w:r>
      <w:r w:rsidRPr="00315CB1">
        <w:t>Study</w:t>
      </w:r>
      <w:r w:rsidRPr="009D7507">
        <w:t xml:space="preserve"> по залежам Глубокая Окисленная (DOX) и Южный раздув (SB), подтвердившее перспективность дальнейшей отработки и позволившее перейти к этапу заключения контракта на выполнение ТЭО. В числе технических достижений — ввод в эксплуатацию калориферных установок и запуск единственной в Кыргызстане установки тросового крепления, что повысило уровень промышленной безопасности и технологических возможностей. Кроме того, заключен контракт на поставку четырех новых самоходных буровых установок для модернизации парка оборудования. По залежам Седловина (SD) и Штокверк (SW) завершено ТЭО, и начаты работы по формированию Технического проекта отработки.</w:t>
      </w:r>
    </w:p>
    <w:p w14:paraId="453E91F5" w14:textId="77777777" w:rsidR="00CA5EF7" w:rsidRPr="009D7507" w:rsidRDefault="00CA5EF7" w:rsidP="00CA5EF7">
      <w:pPr>
        <w:widowControl w:val="0"/>
        <w:ind w:firstLine="720"/>
        <w:jc w:val="both"/>
      </w:pPr>
      <w:r w:rsidRPr="009D7507">
        <w:t xml:space="preserve">В соответствии с распоряжением Кабинета Министров Кыргызской Республики внесены изменения в контуры лицензионных площадей </w:t>
      </w:r>
      <w:proofErr w:type="spellStart"/>
      <w:r w:rsidRPr="009D7507">
        <w:t>Тоголок</w:t>
      </w:r>
      <w:proofErr w:type="spellEnd"/>
      <w:r w:rsidRPr="009D7507">
        <w:t xml:space="preserve"> и </w:t>
      </w:r>
      <w:proofErr w:type="spellStart"/>
      <w:r w:rsidRPr="009D7507">
        <w:t>Джангарт</w:t>
      </w:r>
      <w:proofErr w:type="spellEnd"/>
      <w:r w:rsidRPr="009D7507">
        <w:t>. На основании данных изменений оформлены новые лицензионные соглашения №3 и №4 на проведение работ по разработке и геологоразведке.</w:t>
      </w:r>
    </w:p>
    <w:p w14:paraId="1600560A" w14:textId="77777777" w:rsidR="00CA5EF7" w:rsidRPr="009D7507" w:rsidRDefault="00CA5EF7" w:rsidP="00CA5EF7">
      <w:pPr>
        <w:widowControl w:val="0"/>
        <w:ind w:firstLine="720"/>
        <w:jc w:val="both"/>
      </w:pPr>
      <w:r w:rsidRPr="009D7507">
        <w:t>На основании распоряжения Кабинета Министров Кыргызской Республики получено разрешение для КГК и КОК на совмещение процессов проектирования и строительства объектов на месторождениях Кумтор, Карасай-</w:t>
      </w:r>
      <w:proofErr w:type="spellStart"/>
      <w:r w:rsidRPr="009D7507">
        <w:t>Коендинская</w:t>
      </w:r>
      <w:proofErr w:type="spellEnd"/>
      <w:r w:rsidRPr="009D7507">
        <w:t xml:space="preserve">, </w:t>
      </w:r>
      <w:proofErr w:type="spellStart"/>
      <w:r w:rsidRPr="009D7507">
        <w:t>Джангартская</w:t>
      </w:r>
      <w:proofErr w:type="spellEnd"/>
      <w:r w:rsidRPr="009D7507">
        <w:t xml:space="preserve">, </w:t>
      </w:r>
      <w:proofErr w:type="spellStart"/>
      <w:r w:rsidRPr="009D7507">
        <w:t>Тоголок</w:t>
      </w:r>
      <w:proofErr w:type="spellEnd"/>
      <w:r w:rsidRPr="009D7507">
        <w:t xml:space="preserve">, а также в городах Балыкчи и </w:t>
      </w:r>
      <w:r w:rsidRPr="009D7507">
        <w:rPr>
          <w:iCs/>
        </w:rPr>
        <w:t>Токмок</w:t>
      </w:r>
      <w:r w:rsidRPr="009D7507">
        <w:t>.</w:t>
      </w:r>
    </w:p>
    <w:p w14:paraId="25F180D8" w14:textId="77777777" w:rsidR="00CA5EF7" w:rsidRPr="009D7507" w:rsidRDefault="00CA5EF7" w:rsidP="00CA5EF7">
      <w:pPr>
        <w:widowControl w:val="0"/>
        <w:ind w:firstLine="720"/>
        <w:jc w:val="both"/>
      </w:pPr>
      <w:r w:rsidRPr="009D7507">
        <w:t>Получен сертификат перестрахования на международном рынке, обеспечивающий покрытие 98% рисков по действующему договору страхования имущественного комплекса КГК от всех рисков.</w:t>
      </w:r>
    </w:p>
    <w:p w14:paraId="3CE8B5B0" w14:textId="77777777" w:rsidR="00CA5EF7" w:rsidRPr="008E6FDC" w:rsidRDefault="00CA5EF7" w:rsidP="00CA5EF7">
      <w:pPr>
        <w:widowControl w:val="0"/>
        <w:spacing w:before="120" w:after="120"/>
        <w:ind w:firstLine="720"/>
        <w:jc w:val="both"/>
      </w:pPr>
    </w:p>
    <w:p w14:paraId="468EE4E6" w14:textId="77777777" w:rsidR="00CA5EF7" w:rsidRDefault="00CA5EF7" w:rsidP="00CA5EF7">
      <w:pPr>
        <w:pStyle w:val="ListParagraph"/>
        <w:spacing w:after="120" w:line="252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A2D14">
        <w:rPr>
          <w:rFonts w:ascii="Times New Roman" w:eastAsia="Times New Roman" w:hAnsi="Times New Roman" w:cs="Times New Roman"/>
          <w:b/>
          <w:sz w:val="24"/>
          <w:szCs w:val="24"/>
        </w:rPr>
        <w:t>Основные производственные и финансовые результаты деятельности КГК</w:t>
      </w:r>
    </w:p>
    <w:p w14:paraId="72F01BBA" w14:textId="77777777" w:rsidR="00CA5EF7" w:rsidRDefault="00CA5EF7" w:rsidP="00CA5EF7">
      <w:pPr>
        <w:pStyle w:val="ListParagraph"/>
        <w:spacing w:after="120" w:line="252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9723" w:type="dxa"/>
        <w:tblLayout w:type="fixed"/>
        <w:tblLook w:val="04A0" w:firstRow="1" w:lastRow="0" w:firstColumn="1" w:lastColumn="0" w:noHBand="0" w:noVBand="1"/>
      </w:tblPr>
      <w:tblGrid>
        <w:gridCol w:w="7223"/>
        <w:gridCol w:w="1232"/>
        <w:gridCol w:w="1268"/>
      </w:tblGrid>
      <w:tr w:rsidR="00CA5EF7" w:rsidRPr="00EB56AC" w14:paraId="03C86AD6" w14:textId="77777777" w:rsidTr="00DE5CBB">
        <w:trPr>
          <w:trHeight w:val="737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4960D" w14:textId="77777777" w:rsidR="00CA5EF7" w:rsidRPr="00EB56AC" w:rsidRDefault="00CA5EF7" w:rsidP="00DE5CB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6AC">
              <w:rPr>
                <w:b/>
                <w:bCs/>
                <w:sz w:val="20"/>
                <w:szCs w:val="20"/>
                <w:lang w:eastAsia="en-US"/>
              </w:rPr>
              <w:t xml:space="preserve">В млн долларов США, если не указано другое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DD1E5B" w14:textId="77777777" w:rsidR="00CA5EF7" w:rsidRPr="00EB56AC" w:rsidRDefault="00CA5EF7" w:rsidP="00DE5CBB">
            <w:pPr>
              <w:jc w:val="center"/>
              <w:rPr>
                <w:b/>
                <w:sz w:val="20"/>
                <w:szCs w:val="20"/>
                <w:lang w:val="en-US" w:eastAsia="en-US"/>
              </w:rPr>
            </w:pPr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202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2544A" w14:textId="77777777" w:rsidR="00CA5EF7" w:rsidRPr="00EB56AC" w:rsidRDefault="00CA5EF7" w:rsidP="00DE5CBB">
            <w:pPr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202</w:t>
            </w:r>
            <w:r>
              <w:rPr>
                <w:b/>
                <w:bCs/>
                <w:sz w:val="20"/>
                <w:szCs w:val="20"/>
                <w:lang w:val="en-US" w:eastAsia="en-US"/>
              </w:rPr>
              <w:t>4</w:t>
            </w:r>
          </w:p>
        </w:tc>
      </w:tr>
      <w:tr w:rsidR="00CA5EF7" w:rsidRPr="00EB56AC" w14:paraId="3EA2FC07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B73FF3" w14:textId="77777777" w:rsidR="00CA5EF7" w:rsidRPr="00EB56AC" w:rsidRDefault="00CA5EF7" w:rsidP="00DE5CBB">
            <w:pPr>
              <w:rPr>
                <w:b/>
                <w:bCs/>
                <w:sz w:val="20"/>
                <w:szCs w:val="20"/>
                <w:lang w:val="en-US" w:eastAsia="en-US"/>
              </w:rPr>
            </w:pPr>
            <w:proofErr w:type="spellStart"/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Основные</w:t>
            </w:r>
            <w:proofErr w:type="spellEnd"/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финансовые</w:t>
            </w:r>
            <w:proofErr w:type="spellEnd"/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eastAsia="en-US"/>
              </w:rPr>
              <w:t>показатели</w:t>
            </w:r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1D2D90" w14:textId="77777777" w:rsidR="00CA5EF7" w:rsidRPr="00EB56AC" w:rsidRDefault="00CA5EF7" w:rsidP="00DE5CBB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B073" w14:textId="77777777" w:rsidR="00CA5EF7" w:rsidRPr="00EB56AC" w:rsidRDefault="00CA5EF7" w:rsidP="00DE5CBB">
            <w:pPr>
              <w:jc w:val="center"/>
              <w:rPr>
                <w:b/>
                <w:bCs/>
                <w:sz w:val="20"/>
                <w:szCs w:val="20"/>
                <w:lang w:val="en-US" w:eastAsia="en-US"/>
              </w:rPr>
            </w:pPr>
            <w:r w:rsidRPr="00EB56AC">
              <w:rPr>
                <w:b/>
                <w:bCs/>
                <w:sz w:val="20"/>
                <w:szCs w:val="20"/>
                <w:lang w:val="en-US" w:eastAsia="en-US"/>
              </w:rPr>
              <w:t> </w:t>
            </w:r>
          </w:p>
        </w:tc>
      </w:tr>
      <w:tr w:rsidR="00CA5EF7" w:rsidRPr="006C70DD" w14:paraId="5D02C776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60A1" w14:textId="77777777" w:rsidR="00CA5EF7" w:rsidRPr="00B10D84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Выручка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6A9ED" w14:textId="77777777" w:rsidR="00CA5EF7" w:rsidRPr="006C70DD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1434,6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1ADBB" w14:textId="77777777" w:rsidR="00CA5EF7" w:rsidRPr="006C70DD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989,1</w:t>
            </w:r>
          </w:p>
        </w:tc>
      </w:tr>
      <w:tr w:rsidR="00CA5EF7" w:rsidRPr="00EB56AC" w14:paraId="3B4DE4EB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AAD342" w14:textId="77777777" w:rsidR="00CA5EF7" w:rsidRPr="00600DCC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 w:rsidRPr="00EE01DC">
              <w:rPr>
                <w:sz w:val="20"/>
                <w:szCs w:val="20"/>
                <w:lang w:eastAsia="en-US"/>
              </w:rPr>
              <w:t>Себестоимость реализации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775935" w14:textId="77777777" w:rsidR="00CA5EF7" w:rsidRPr="007D4049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440,5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A5EBA5" w14:textId="77777777" w:rsidR="00CA5EF7" w:rsidRPr="00283F03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411,1</w:t>
            </w:r>
          </w:p>
        </w:tc>
      </w:tr>
      <w:tr w:rsidR="00CA5EF7" w:rsidRPr="00EB56AC" w14:paraId="1A6A58B8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53EC41" w14:textId="77777777" w:rsidR="00CA5EF7" w:rsidRPr="00600DCC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операционные расходы и доходы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9B4E22" w14:textId="77777777" w:rsidR="00CA5EF7" w:rsidRPr="00A84B76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A84B76">
              <w:rPr>
                <w:sz w:val="20"/>
                <w:szCs w:val="20"/>
                <w:lang w:eastAsia="en-US"/>
              </w:rPr>
              <w:t>316</w:t>
            </w:r>
            <w:r w:rsidRPr="00A84B76">
              <w:rPr>
                <w:sz w:val="20"/>
                <w:szCs w:val="20"/>
                <w:lang w:val="en-US" w:eastAsia="en-US"/>
              </w:rPr>
              <w:t>,</w:t>
            </w:r>
            <w:r w:rsidRPr="00A84B76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1143FE" w14:textId="77777777" w:rsidR="00CA5EF7" w:rsidRPr="005B66CF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189,4</w:t>
            </w:r>
          </w:p>
        </w:tc>
      </w:tr>
      <w:tr w:rsidR="00CA5EF7" w:rsidRPr="00EB56AC" w14:paraId="09ED83C2" w14:textId="77777777" w:rsidTr="00DE5CBB">
        <w:trPr>
          <w:trHeight w:hRule="exact" w:val="291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CDA3E9E" w14:textId="77777777" w:rsidR="00CA5EF7" w:rsidRPr="00600DCC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Прочие неоперационные расходы и (доходы)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A120F1" w14:textId="77777777" w:rsidR="00CA5EF7" w:rsidRPr="00A84B76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A84B76">
              <w:rPr>
                <w:sz w:val="20"/>
                <w:szCs w:val="20"/>
                <w:lang w:val="en-US" w:eastAsia="en-US"/>
              </w:rPr>
              <w:t>(</w:t>
            </w:r>
            <w:r w:rsidRPr="00A84B76">
              <w:rPr>
                <w:sz w:val="20"/>
                <w:szCs w:val="20"/>
                <w:lang w:eastAsia="en-US"/>
              </w:rPr>
              <w:t>2</w:t>
            </w:r>
            <w:r w:rsidRPr="00A84B76">
              <w:rPr>
                <w:sz w:val="20"/>
                <w:szCs w:val="20"/>
                <w:lang w:val="en-US" w:eastAsia="en-US"/>
              </w:rPr>
              <w:t>8,</w:t>
            </w:r>
            <w:r w:rsidRPr="00A84B76">
              <w:rPr>
                <w:sz w:val="20"/>
                <w:szCs w:val="20"/>
                <w:lang w:eastAsia="en-US"/>
              </w:rPr>
              <w:t>4</w:t>
            </w:r>
            <w:r w:rsidRPr="00A84B76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F79ACF8" w14:textId="77777777" w:rsidR="00CA5EF7" w:rsidRPr="00F713AE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(8,8)</w:t>
            </w:r>
          </w:p>
        </w:tc>
      </w:tr>
      <w:tr w:rsidR="00CA5EF7" w:rsidRPr="00EB56AC" w14:paraId="791DD1A2" w14:textId="77777777" w:rsidTr="00DE5CBB">
        <w:trPr>
          <w:trHeight w:hRule="exact" w:val="293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E45EE6" w14:textId="77777777" w:rsidR="00CA5EF7" w:rsidRPr="00B1193C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  <w:r w:rsidRPr="00B1193C">
              <w:rPr>
                <w:sz w:val="20"/>
                <w:szCs w:val="20"/>
                <w:lang w:eastAsia="en-US"/>
              </w:rPr>
              <w:t>Чистая прибыль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8AF4" w14:textId="77777777" w:rsidR="00CA5EF7" w:rsidRPr="00B1193C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B1193C">
              <w:rPr>
                <w:sz w:val="20"/>
                <w:szCs w:val="20"/>
                <w:lang w:eastAsia="en-US"/>
              </w:rPr>
              <w:t>706</w:t>
            </w:r>
            <w:r w:rsidRPr="00B1193C">
              <w:rPr>
                <w:sz w:val="20"/>
                <w:szCs w:val="20"/>
                <w:lang w:val="en-US" w:eastAsia="en-US"/>
              </w:rPr>
              <w:t>,</w:t>
            </w:r>
            <w:r w:rsidRPr="00B1193C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F46D9C" w14:textId="77777777" w:rsidR="00CA5EF7" w:rsidRPr="000C7A2C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397,4</w:t>
            </w:r>
          </w:p>
        </w:tc>
      </w:tr>
      <w:tr w:rsidR="00CA5EF7" w:rsidRPr="00EB56AC" w14:paraId="44391350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03D80" w14:textId="77777777" w:rsidR="00CA5EF7" w:rsidRPr="00917A95" w:rsidRDefault="00CA5EF7" w:rsidP="00DE5CBB">
            <w:pPr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43FE8B" w14:textId="77777777" w:rsidR="00CA5EF7" w:rsidRPr="00917A95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8BFF6" w14:textId="77777777" w:rsidR="00CA5EF7" w:rsidRPr="00917A95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5EF7" w:rsidRPr="00EB56AC" w14:paraId="43D0A105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A6C0D3" w14:textId="77777777" w:rsidR="00CA5EF7" w:rsidRPr="00F641B0" w:rsidRDefault="00CA5EF7" w:rsidP="00DE5CBB">
            <w:pPr>
              <w:jc w:val="both"/>
              <w:rPr>
                <w:b/>
                <w:bCs/>
                <w:sz w:val="20"/>
                <w:szCs w:val="20"/>
                <w:lang w:eastAsia="en-US"/>
              </w:rPr>
            </w:pPr>
            <w:r w:rsidRPr="00F641B0">
              <w:rPr>
                <w:b/>
                <w:bCs/>
                <w:sz w:val="20"/>
                <w:szCs w:val="20"/>
                <w:lang w:eastAsia="en-US"/>
              </w:rPr>
              <w:t xml:space="preserve">Основные производственные </w:t>
            </w:r>
            <w:r>
              <w:rPr>
                <w:b/>
                <w:bCs/>
                <w:sz w:val="20"/>
                <w:szCs w:val="20"/>
                <w:lang w:eastAsia="en-US"/>
              </w:rPr>
              <w:t>показатели</w:t>
            </w:r>
            <w:r w:rsidRPr="00F641B0">
              <w:rPr>
                <w:b/>
                <w:bCs/>
                <w:sz w:val="20"/>
                <w:szCs w:val="20"/>
                <w:lang w:eastAsia="en-US"/>
              </w:rPr>
              <w:t>: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0338D" w14:textId="77777777" w:rsidR="00CA5EF7" w:rsidRPr="00F641B0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653FB" w14:textId="77777777" w:rsidR="00CA5EF7" w:rsidRPr="00F641B0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CA5EF7" w:rsidRPr="00EB56AC" w14:paraId="4A1B625B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E18AE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>Объем горных работ (</w:t>
            </w:r>
            <w:proofErr w:type="spellStart"/>
            <w:proofErr w:type="gramStart"/>
            <w:r w:rsidRPr="00EB56AC">
              <w:rPr>
                <w:sz w:val="20"/>
                <w:szCs w:val="20"/>
                <w:lang w:eastAsia="en-US"/>
              </w:rPr>
              <w:t>тыс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B56AC">
              <w:rPr>
                <w:sz w:val="20"/>
                <w:szCs w:val="20"/>
                <w:lang w:eastAsia="en-US"/>
              </w:rPr>
              <w:t>тонн</w:t>
            </w:r>
            <w:proofErr w:type="spellEnd"/>
            <w:proofErr w:type="gramEnd"/>
            <w:r w:rsidRPr="00EB56A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C59936" w14:textId="77777777" w:rsidR="00CA5EF7" w:rsidRPr="002309DD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</w:t>
            </w:r>
            <w:r>
              <w:rPr>
                <w:sz w:val="20"/>
                <w:szCs w:val="20"/>
                <w:lang w:eastAsia="en-US"/>
              </w:rPr>
              <w:t>2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773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9389D4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189 089</w:t>
            </w:r>
          </w:p>
        </w:tc>
      </w:tr>
      <w:tr w:rsidR="00CA5EF7" w:rsidRPr="00EB56AC" w14:paraId="122D1E1D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991CD2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 xml:space="preserve">Объем добытой </w:t>
            </w:r>
            <w:r>
              <w:rPr>
                <w:sz w:val="20"/>
                <w:szCs w:val="20"/>
                <w:lang w:eastAsia="en-US"/>
              </w:rPr>
              <w:t xml:space="preserve">товарной в </w:t>
            </w:r>
            <w:r w:rsidRPr="00EB56AC">
              <w:rPr>
                <w:sz w:val="20"/>
                <w:szCs w:val="20"/>
                <w:lang w:eastAsia="en-US"/>
              </w:rPr>
              <w:t>руды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B56AC">
              <w:rPr>
                <w:sz w:val="20"/>
                <w:szCs w:val="20"/>
                <w:lang w:eastAsia="en-US"/>
              </w:rPr>
              <w:t>(</w:t>
            </w:r>
            <w:proofErr w:type="spellStart"/>
            <w:proofErr w:type="gramStart"/>
            <w:r w:rsidRPr="00EB56AC">
              <w:rPr>
                <w:sz w:val="20"/>
                <w:szCs w:val="20"/>
                <w:lang w:eastAsia="en-US"/>
              </w:rPr>
              <w:t>тыс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B56AC">
              <w:rPr>
                <w:sz w:val="20"/>
                <w:szCs w:val="20"/>
                <w:lang w:eastAsia="en-US"/>
              </w:rPr>
              <w:t>тонн</w:t>
            </w:r>
            <w:proofErr w:type="spellEnd"/>
            <w:proofErr w:type="gramEnd"/>
            <w:r w:rsidRPr="00EB56A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35D02" w14:textId="77777777" w:rsidR="00CA5EF7" w:rsidRPr="00F26709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807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402D2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7 286</w:t>
            </w:r>
          </w:p>
        </w:tc>
      </w:tr>
      <w:tr w:rsidR="00CA5EF7" w:rsidRPr="00EB56AC" w14:paraId="7DB2B579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E900B2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>Среднее содержание золота</w:t>
            </w:r>
            <w:r>
              <w:rPr>
                <w:sz w:val="20"/>
                <w:szCs w:val="20"/>
                <w:lang w:eastAsia="en-US"/>
              </w:rPr>
              <w:t xml:space="preserve"> в добытой руде</w:t>
            </w:r>
            <w:r w:rsidRPr="00EB56AC">
              <w:rPr>
                <w:sz w:val="20"/>
                <w:szCs w:val="20"/>
                <w:lang w:eastAsia="en-US"/>
              </w:rPr>
              <w:t xml:space="preserve"> (г/т)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9569" w14:textId="77777777" w:rsidR="00CA5EF7" w:rsidRPr="00EF3352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</w:t>
            </w:r>
            <w:r>
              <w:rPr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8CDACC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2,27</w:t>
            </w:r>
          </w:p>
        </w:tc>
      </w:tr>
      <w:tr w:rsidR="00CA5EF7" w:rsidRPr="00EB56AC" w14:paraId="2F6EEB0B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E8DC6A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>Объем переработанной руды (</w:t>
            </w:r>
            <w:proofErr w:type="spellStart"/>
            <w:proofErr w:type="gramStart"/>
            <w:r w:rsidRPr="00EB56AC">
              <w:rPr>
                <w:sz w:val="20"/>
                <w:szCs w:val="20"/>
                <w:lang w:eastAsia="en-US"/>
              </w:rPr>
              <w:t>тыс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EB56AC">
              <w:rPr>
                <w:sz w:val="20"/>
                <w:szCs w:val="20"/>
                <w:lang w:eastAsia="en-US"/>
              </w:rPr>
              <w:t>тонн</w:t>
            </w:r>
            <w:proofErr w:type="spellEnd"/>
            <w:proofErr w:type="gramEnd"/>
            <w:r w:rsidRPr="00EB56AC">
              <w:rPr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5CB948" w14:textId="77777777" w:rsidR="00CA5EF7" w:rsidRPr="00EF3352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 xml:space="preserve">6 </w:t>
            </w:r>
            <w:r>
              <w:rPr>
                <w:sz w:val="20"/>
                <w:szCs w:val="20"/>
                <w:lang w:eastAsia="en-US"/>
              </w:rPr>
              <w:t>453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CD2C6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6 383</w:t>
            </w:r>
          </w:p>
        </w:tc>
      </w:tr>
      <w:tr w:rsidR="00CA5EF7" w:rsidRPr="00EB56AC" w14:paraId="2F366BD8" w14:textId="77777777" w:rsidTr="00DE5CBB">
        <w:trPr>
          <w:trHeight w:val="268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3BDB2A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>Среднее содержание золота в руде, подаваемой на фабрику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EB56AC">
              <w:rPr>
                <w:sz w:val="20"/>
                <w:szCs w:val="20"/>
                <w:lang w:eastAsia="en-US"/>
              </w:rPr>
              <w:t>(г/т)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53AFC1" w14:textId="77777777" w:rsidR="00CA5EF7" w:rsidRPr="00EF3352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</w:t>
            </w:r>
            <w:r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A3C42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2,68</w:t>
            </w:r>
          </w:p>
        </w:tc>
      </w:tr>
      <w:tr w:rsidR="00CA5EF7" w:rsidRPr="00EB56AC" w14:paraId="1BD753E2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D41C54" w14:textId="77777777" w:rsidR="00CA5EF7" w:rsidRPr="00EB56AC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Коэффициент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извлечения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золота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(в %)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FA635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</w:t>
            </w:r>
            <w:r>
              <w:rPr>
                <w:sz w:val="20"/>
                <w:szCs w:val="20"/>
                <w:lang w:eastAsia="en-US"/>
              </w:rPr>
              <w:t>6</w:t>
            </w:r>
            <w:r>
              <w:rPr>
                <w:sz w:val="20"/>
                <w:szCs w:val="20"/>
                <w:lang w:val="en-US" w:eastAsia="en-US"/>
              </w:rPr>
              <w:t>,</w:t>
            </w:r>
            <w:r>
              <w:rPr>
                <w:sz w:val="20"/>
                <w:szCs w:val="20"/>
                <w:lang w:eastAsia="en-US"/>
              </w:rPr>
              <w:t>00</w:t>
            </w:r>
            <w:r>
              <w:rPr>
                <w:sz w:val="20"/>
                <w:szCs w:val="20"/>
                <w:lang w:val="en-US" w:eastAsia="en-US"/>
              </w:rPr>
              <w:t>%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81FC4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73,25%</w:t>
            </w:r>
          </w:p>
        </w:tc>
      </w:tr>
      <w:tr w:rsidR="00CA5EF7" w:rsidRPr="00EB56AC" w14:paraId="3C4612E6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B9C8FD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605B1E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45323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CA5EF7" w:rsidRPr="00EB56AC" w14:paraId="338AEBB5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4FC955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t xml:space="preserve">Все затраты на горные работы (в </w:t>
            </w:r>
            <w:r w:rsidRPr="00EB56AC">
              <w:rPr>
                <w:sz w:val="20"/>
                <w:szCs w:val="20"/>
                <w:lang w:val="en-US" w:eastAsia="en-US"/>
              </w:rPr>
              <w:t>USD</w:t>
            </w:r>
            <w:r w:rsidRPr="00EB56AC">
              <w:rPr>
                <w:sz w:val="20"/>
                <w:szCs w:val="20"/>
                <w:lang w:eastAsia="en-US"/>
              </w:rPr>
              <w:t xml:space="preserve"> на тонну)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EBC287" w14:textId="77777777" w:rsidR="00CA5EF7" w:rsidRPr="00B02676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1,2</w:t>
            </w: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92B086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1,26</w:t>
            </w:r>
          </w:p>
        </w:tc>
      </w:tr>
      <w:tr w:rsidR="00CA5EF7" w:rsidRPr="00EB56AC" w14:paraId="2DF26D18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14F39" w14:textId="77777777" w:rsidR="00CA5EF7" w:rsidRPr="00EB56AC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EB56AC">
              <w:rPr>
                <w:sz w:val="20"/>
                <w:szCs w:val="20"/>
                <w:lang w:eastAsia="en-US"/>
              </w:rPr>
              <w:lastRenderedPageBreak/>
              <w:t xml:space="preserve">Все затраты на фабричную переработку (в </w:t>
            </w:r>
            <w:r w:rsidRPr="00EB56AC">
              <w:rPr>
                <w:sz w:val="20"/>
                <w:szCs w:val="20"/>
                <w:lang w:val="en-US" w:eastAsia="en-US"/>
              </w:rPr>
              <w:t>USD</w:t>
            </w:r>
            <w:r w:rsidRPr="00EB56AC">
              <w:rPr>
                <w:sz w:val="20"/>
                <w:szCs w:val="20"/>
                <w:lang w:eastAsia="en-US"/>
              </w:rPr>
              <w:t xml:space="preserve"> на тонну)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9410E" w14:textId="77777777" w:rsidR="00CA5EF7" w:rsidRPr="006A366F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16,</w:t>
            </w:r>
            <w:r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D19FF6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16,82</w:t>
            </w:r>
          </w:p>
        </w:tc>
      </w:tr>
      <w:tr w:rsidR="00CA5EF7" w:rsidRPr="00EB56AC" w14:paraId="03A22D66" w14:textId="77777777" w:rsidTr="00DE5CBB">
        <w:trPr>
          <w:trHeight w:hRule="exact" w:val="8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500B8F" w14:textId="77777777" w:rsidR="00CA5EF7" w:rsidRPr="00EB56AC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r w:rsidRPr="00EB56AC">
              <w:rPr>
                <w:sz w:val="20"/>
                <w:szCs w:val="20"/>
                <w:lang w:val="en-US" w:eastAsia="en-US"/>
              </w:rPr>
              <w:t> 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D83E9F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E73327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</w:p>
        </w:tc>
      </w:tr>
      <w:tr w:rsidR="00CA5EF7" w:rsidRPr="00EB56AC" w14:paraId="2A9800E1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4771" w14:textId="77777777" w:rsidR="00CA5EF7" w:rsidRPr="00EB56AC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Произведено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золота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(в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унциях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5AC64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eastAsia="en-US"/>
              </w:rPr>
              <w:t>388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41</w:t>
            </w:r>
            <w:r>
              <w:rPr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53595C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403 558</w:t>
            </w:r>
          </w:p>
        </w:tc>
      </w:tr>
      <w:tr w:rsidR="00CA5EF7" w:rsidRPr="00EB56AC" w14:paraId="7769B1D4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668524" w14:textId="77777777" w:rsidR="00CA5EF7" w:rsidRPr="00A67EB1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A67EB1">
              <w:rPr>
                <w:sz w:val="20"/>
                <w:szCs w:val="20"/>
                <w:lang w:val="en-US" w:eastAsia="en-US"/>
              </w:rPr>
              <w:t>Произведено</w:t>
            </w:r>
            <w:proofErr w:type="spellEnd"/>
            <w:r w:rsidRPr="00A67EB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A67EB1">
              <w:rPr>
                <w:sz w:val="20"/>
                <w:szCs w:val="20"/>
                <w:lang w:val="en-US" w:eastAsia="en-US"/>
              </w:rPr>
              <w:t>золота</w:t>
            </w:r>
            <w:proofErr w:type="spellEnd"/>
            <w:r w:rsidRPr="00A67EB1">
              <w:rPr>
                <w:sz w:val="20"/>
                <w:szCs w:val="20"/>
                <w:lang w:val="en-US" w:eastAsia="en-US"/>
              </w:rPr>
              <w:t xml:space="preserve"> (в </w:t>
            </w:r>
            <w:r w:rsidRPr="00F641B0">
              <w:rPr>
                <w:sz w:val="20"/>
                <w:szCs w:val="20"/>
                <w:lang w:eastAsia="en-US"/>
              </w:rPr>
              <w:t>килограммах</w:t>
            </w:r>
            <w:r w:rsidRPr="00A67EB1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0E81E9" w14:textId="77777777" w:rsidR="00CA5EF7" w:rsidRPr="00A84B76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 w:rsidRPr="00A84B76">
              <w:rPr>
                <w:sz w:val="20"/>
                <w:szCs w:val="20"/>
                <w:lang w:val="en-US" w:eastAsia="en-US"/>
              </w:rPr>
              <w:t xml:space="preserve">12 </w:t>
            </w:r>
            <w:r w:rsidRPr="00A84B76">
              <w:rPr>
                <w:sz w:val="20"/>
                <w:szCs w:val="20"/>
                <w:lang w:eastAsia="en-US"/>
              </w:rPr>
              <w:t>081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A743B" w14:textId="77777777" w:rsidR="00CA5EF7" w:rsidRPr="00A67EB1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12 552</w:t>
            </w:r>
          </w:p>
        </w:tc>
      </w:tr>
      <w:tr w:rsidR="00CA5EF7" w:rsidRPr="00EB56AC" w14:paraId="3D631334" w14:textId="77777777" w:rsidTr="00DE5CBB">
        <w:trPr>
          <w:trHeight w:val="27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80D46" w14:textId="77777777" w:rsidR="00CA5EF7" w:rsidRPr="00EB56AC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Реализовано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золота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 xml:space="preserve"> (в </w:t>
            </w:r>
            <w:proofErr w:type="spellStart"/>
            <w:r w:rsidRPr="00EB56AC">
              <w:rPr>
                <w:sz w:val="20"/>
                <w:szCs w:val="20"/>
                <w:lang w:val="en-US" w:eastAsia="en-US"/>
              </w:rPr>
              <w:t>унциях</w:t>
            </w:r>
            <w:proofErr w:type="spellEnd"/>
            <w:r w:rsidRPr="00EB56AC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82089F" w14:textId="77777777" w:rsidR="00CA5EF7" w:rsidRPr="00403DC1" w:rsidRDefault="00CA5EF7" w:rsidP="00DE5CBB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386</w:t>
            </w:r>
            <w:r>
              <w:rPr>
                <w:sz w:val="20"/>
                <w:szCs w:val="20"/>
                <w:lang w:val="en-US"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t>616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1C5EE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402 092</w:t>
            </w:r>
          </w:p>
        </w:tc>
      </w:tr>
      <w:tr w:rsidR="00CA5EF7" w:rsidRPr="00EB56AC" w14:paraId="6A531F3A" w14:textId="77777777" w:rsidTr="00DE5CBB">
        <w:trPr>
          <w:trHeight w:val="276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48045" w14:textId="77777777" w:rsidR="00CA5EF7" w:rsidRPr="00F24F51" w:rsidRDefault="00CA5EF7" w:rsidP="00DE5CBB">
            <w:pPr>
              <w:rPr>
                <w:sz w:val="20"/>
                <w:szCs w:val="20"/>
                <w:lang w:val="en-US" w:eastAsia="en-US"/>
              </w:rPr>
            </w:pPr>
            <w:proofErr w:type="spellStart"/>
            <w:r w:rsidRPr="00F24F51">
              <w:rPr>
                <w:sz w:val="20"/>
                <w:szCs w:val="20"/>
                <w:lang w:val="en-US" w:eastAsia="en-US"/>
              </w:rPr>
              <w:t>Реализовано</w:t>
            </w:r>
            <w:proofErr w:type="spellEnd"/>
            <w:r w:rsidRPr="00F24F51">
              <w:rPr>
                <w:sz w:val="20"/>
                <w:szCs w:val="20"/>
                <w:lang w:val="en-US" w:eastAsia="en-US"/>
              </w:rPr>
              <w:t xml:space="preserve"> </w:t>
            </w:r>
            <w:proofErr w:type="spellStart"/>
            <w:r w:rsidRPr="00F24F51">
              <w:rPr>
                <w:sz w:val="20"/>
                <w:szCs w:val="20"/>
                <w:lang w:val="en-US" w:eastAsia="en-US"/>
              </w:rPr>
              <w:t>золота</w:t>
            </w:r>
            <w:proofErr w:type="spellEnd"/>
            <w:r w:rsidRPr="00F24F51">
              <w:rPr>
                <w:sz w:val="20"/>
                <w:szCs w:val="20"/>
                <w:lang w:val="en-US" w:eastAsia="en-US"/>
              </w:rPr>
              <w:t xml:space="preserve"> (в </w:t>
            </w:r>
            <w:r w:rsidRPr="00F24F51">
              <w:rPr>
                <w:sz w:val="20"/>
                <w:szCs w:val="20"/>
                <w:lang w:eastAsia="en-US"/>
              </w:rPr>
              <w:t>килограммах</w:t>
            </w:r>
            <w:r w:rsidRPr="00F24F51">
              <w:rPr>
                <w:sz w:val="20"/>
                <w:szCs w:val="20"/>
                <w:lang w:val="en-US" w:eastAsia="en-US"/>
              </w:rPr>
              <w:t>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198A65" w14:textId="77777777" w:rsidR="00CA5EF7" w:rsidRPr="00F24F51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F24F51">
              <w:rPr>
                <w:sz w:val="20"/>
                <w:szCs w:val="20"/>
                <w:lang w:val="en-US" w:eastAsia="en-US"/>
              </w:rPr>
              <w:t>12 025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DF086D" w14:textId="77777777" w:rsidR="00CA5EF7" w:rsidRPr="00A67EB1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12 506</w:t>
            </w:r>
          </w:p>
        </w:tc>
      </w:tr>
      <w:tr w:rsidR="00CA5EF7" w:rsidRPr="00EB56AC" w14:paraId="33EFFF83" w14:textId="77777777" w:rsidTr="00DE5CBB">
        <w:trPr>
          <w:trHeight w:val="275"/>
        </w:trPr>
        <w:tc>
          <w:tcPr>
            <w:tcW w:w="7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E1E7EA" w14:textId="77777777" w:rsidR="00CA5EF7" w:rsidRPr="007D4488" w:rsidRDefault="00CA5EF7" w:rsidP="00DE5CBB">
            <w:pPr>
              <w:rPr>
                <w:sz w:val="20"/>
                <w:szCs w:val="20"/>
                <w:lang w:eastAsia="en-US"/>
              </w:rPr>
            </w:pPr>
            <w:r w:rsidRPr="007D4488">
              <w:rPr>
                <w:sz w:val="20"/>
                <w:szCs w:val="20"/>
                <w:lang w:eastAsia="en-US"/>
              </w:rPr>
              <w:t xml:space="preserve">Средняя цена реализации (в </w:t>
            </w:r>
            <w:r w:rsidRPr="007D4488">
              <w:rPr>
                <w:sz w:val="20"/>
                <w:szCs w:val="20"/>
                <w:lang w:val="en-US" w:eastAsia="en-US"/>
              </w:rPr>
              <w:t>USD</w:t>
            </w:r>
            <w:r w:rsidRPr="007D4488">
              <w:rPr>
                <w:sz w:val="20"/>
                <w:szCs w:val="20"/>
                <w:lang w:eastAsia="en-US"/>
              </w:rPr>
              <w:t xml:space="preserve"> за унцию)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AA871" w14:textId="77777777" w:rsidR="00CA5EF7" w:rsidRPr="007D4488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7D4488">
              <w:rPr>
                <w:sz w:val="20"/>
                <w:szCs w:val="20"/>
                <w:lang w:val="en-US" w:eastAsia="en-US"/>
              </w:rPr>
              <w:t>$3 711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CC5E0" w14:textId="77777777" w:rsidR="00CA5EF7" w:rsidRPr="00EB56AC" w:rsidRDefault="00CA5EF7" w:rsidP="00DE5CBB">
            <w:pPr>
              <w:jc w:val="center"/>
              <w:rPr>
                <w:sz w:val="20"/>
                <w:szCs w:val="20"/>
                <w:lang w:val="en-US" w:eastAsia="en-US"/>
              </w:rPr>
            </w:pPr>
            <w:r w:rsidRPr="00EB56AC">
              <w:rPr>
                <w:sz w:val="20"/>
                <w:szCs w:val="20"/>
                <w:lang w:val="en-US" w:eastAsia="en-US"/>
              </w:rPr>
              <w:t>$</w:t>
            </w:r>
            <w:r>
              <w:rPr>
                <w:sz w:val="20"/>
                <w:szCs w:val="20"/>
                <w:lang w:val="en-US" w:eastAsia="en-US"/>
              </w:rPr>
              <w:t>2 460</w:t>
            </w:r>
          </w:p>
        </w:tc>
      </w:tr>
    </w:tbl>
    <w:p w14:paraId="192A15F7" w14:textId="77777777" w:rsidR="00CA5EF7" w:rsidRPr="00C64447" w:rsidRDefault="00CA5EF7" w:rsidP="00CA5EF7">
      <w:pPr>
        <w:spacing w:after="160" w:line="259" w:lineRule="auto"/>
        <w:rPr>
          <w:b/>
        </w:rPr>
      </w:pPr>
      <w:r>
        <w:rPr>
          <w:b/>
          <w:bCs/>
        </w:rPr>
        <w:br w:type="page"/>
      </w:r>
      <w:r w:rsidRPr="00C64447">
        <w:rPr>
          <w:b/>
        </w:rPr>
        <w:lastRenderedPageBreak/>
        <w:t>Производственная деятельность</w:t>
      </w:r>
    </w:p>
    <w:p w14:paraId="7E99623E" w14:textId="7D00BEE3" w:rsidR="00CA5EF7" w:rsidRPr="003313C2" w:rsidRDefault="00CA5EF7" w:rsidP="00CA5EF7">
      <w:pPr>
        <w:jc w:val="both"/>
      </w:pPr>
      <w:r w:rsidRPr="003313C2">
        <w:t>Объём производства золота за 202</w:t>
      </w:r>
      <w:r>
        <w:t>5</w:t>
      </w:r>
      <w:r w:rsidRPr="003313C2">
        <w:t xml:space="preserve"> год, с учетом переработки складских запасов ранее добытой руды составил </w:t>
      </w:r>
      <w:r>
        <w:t>388</w:t>
      </w:r>
      <w:r w:rsidRPr="003313C2">
        <w:t xml:space="preserve"> </w:t>
      </w:r>
      <w:r>
        <w:t>41</w:t>
      </w:r>
      <w:r w:rsidRPr="003313C2">
        <w:t xml:space="preserve">8 унций или 12 </w:t>
      </w:r>
      <w:r>
        <w:t>081</w:t>
      </w:r>
      <w:r w:rsidRPr="003313C2">
        <w:t xml:space="preserve"> кг золота</w:t>
      </w:r>
      <w:r w:rsidR="00A24219">
        <w:t>.</w:t>
      </w:r>
      <w:r w:rsidRPr="003313C2">
        <w:t xml:space="preserve"> </w:t>
      </w:r>
    </w:p>
    <w:p w14:paraId="5D5AE998" w14:textId="77777777" w:rsidR="00CA5EF7" w:rsidRPr="003313C2" w:rsidRDefault="00CA5EF7" w:rsidP="00CA5EF7">
      <w:pPr>
        <w:jc w:val="both"/>
      </w:pPr>
      <w:r w:rsidRPr="003313C2">
        <w:t>В 202</w:t>
      </w:r>
      <w:r>
        <w:t>5</w:t>
      </w:r>
      <w:r w:rsidRPr="003313C2">
        <w:t xml:space="preserve"> </w:t>
      </w:r>
      <w:r w:rsidRPr="00F4287B">
        <w:t>году содержание золота в руде, поставляемой на фабрику со складов с различным содержанием золота, в среднем составило 2,46 г/т при коэффициенте извлечения золота из руды 76,0%. В 2025 году, согласно Специального проекта производства горных работ на 2025 год, на руднике Кумтор работы проводились на карьерах Центральный и Юго-Запад. Объем горных работ на руднике Кумтор за 2025 год составил 182,8 млн тонн.</w:t>
      </w:r>
    </w:p>
    <w:p w14:paraId="03C05CD7" w14:textId="77777777" w:rsidR="00CA5EF7" w:rsidRPr="00B80B68" w:rsidRDefault="00CA5EF7" w:rsidP="00CA5EF7">
      <w:pPr>
        <w:pStyle w:val="ListParagraph"/>
        <w:spacing w:after="120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B657CF" w14:textId="77777777" w:rsidR="00CA5EF7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53606A" w14:textId="77777777" w:rsidR="00CA5EF7" w:rsidRPr="00C47B94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7B94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Реализация готовой продукции</w:t>
      </w:r>
    </w:p>
    <w:p w14:paraId="7CA68F88" w14:textId="77777777" w:rsidR="00CA5EF7" w:rsidRPr="00C47B94" w:rsidRDefault="00CA5EF7" w:rsidP="00CA5EF7">
      <w:pPr>
        <w:pStyle w:val="ListParagraph"/>
        <w:spacing w:after="120" w:line="240" w:lineRule="auto"/>
        <w:ind w:lef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CDD4A1F" w14:textId="77777777" w:rsidR="00CA5EF7" w:rsidRPr="00F24F51" w:rsidRDefault="00CA5EF7" w:rsidP="00CA5EF7">
      <w:pPr>
        <w:jc w:val="both"/>
      </w:pPr>
      <w:r w:rsidRPr="006D2339">
        <w:t xml:space="preserve">Слитки Доре, производимые на месторождении Кумтор, закупаются ОАО «Кыргызалтын» для дальнейшей переработки на аффинажном предприятии в г. Кара-Балта, как это предусмотрено Пересмотренным договором о продаже золота и серебра (ПДПЗС), заключенным между закрытым акционерным обществом «Кумтор Голд Компани», открытым акционерным обществом «Кыргызалтын» и Кабинетом Министров Кыргызской Республики от имени Кыргызской Республики </w:t>
      </w:r>
      <w:r w:rsidRPr="00F4287B">
        <w:t>в 2024 году. Исключительным</w:t>
      </w:r>
      <w:r w:rsidRPr="006D2339">
        <w:t xml:space="preserve"> правом реализации аффинированного золота и серебра в Кыргызской Республике и за ее пределами обладает, согласно положениям ПДПЗС, только ОАО «Кыргызалтын». </w:t>
      </w:r>
    </w:p>
    <w:p w14:paraId="70714886" w14:textId="77777777" w:rsidR="00CA5EF7" w:rsidRPr="00F24F51" w:rsidRDefault="00CA5EF7" w:rsidP="00CA5EF7">
      <w:pPr>
        <w:jc w:val="both"/>
      </w:pPr>
    </w:p>
    <w:p w14:paraId="44F81E89" w14:textId="77777777" w:rsidR="00CA5EF7" w:rsidRDefault="00CA5EF7" w:rsidP="00CA5EF7">
      <w:pPr>
        <w:jc w:val="both"/>
      </w:pPr>
      <w:r w:rsidRPr="006D2339">
        <w:t>За 202</w:t>
      </w:r>
      <w:r>
        <w:t>5</w:t>
      </w:r>
      <w:r w:rsidRPr="006D2339">
        <w:t xml:space="preserve"> год КГК реализовано </w:t>
      </w:r>
      <w:r>
        <w:t>386</w:t>
      </w:r>
      <w:r w:rsidRPr="006D2339">
        <w:t xml:space="preserve"> </w:t>
      </w:r>
      <w:r>
        <w:t>616</w:t>
      </w:r>
      <w:r w:rsidRPr="006D2339">
        <w:t xml:space="preserve"> унции (12 </w:t>
      </w:r>
      <w:r>
        <w:t>025</w:t>
      </w:r>
      <w:r w:rsidRPr="006D2339">
        <w:t xml:space="preserve"> кг) золота. Общий доход от реализации золота за 202</w:t>
      </w:r>
      <w:r>
        <w:t>5</w:t>
      </w:r>
      <w:r w:rsidRPr="006D2339">
        <w:t xml:space="preserve"> год составил </w:t>
      </w:r>
      <w:r>
        <w:t>1 434</w:t>
      </w:r>
      <w:r w:rsidRPr="006D2339">
        <w:t>,</w:t>
      </w:r>
      <w:r>
        <w:t>6</w:t>
      </w:r>
      <w:r w:rsidRPr="006D2339">
        <w:t xml:space="preserve"> млн </w:t>
      </w:r>
      <w:proofErr w:type="spellStart"/>
      <w:r w:rsidRPr="006D2339">
        <w:t>долл</w:t>
      </w:r>
      <w:proofErr w:type="spellEnd"/>
      <w:r w:rsidRPr="006D2339">
        <w:t xml:space="preserve"> США.</w:t>
      </w:r>
    </w:p>
    <w:p w14:paraId="7DB8504C" w14:textId="77777777" w:rsidR="00CA5EF7" w:rsidRPr="008C1C90" w:rsidRDefault="00CA5EF7" w:rsidP="00CA5EF7">
      <w:pPr>
        <w:spacing w:after="160"/>
        <w:jc w:val="both"/>
        <w:rPr>
          <w:spacing w:val="-1"/>
        </w:rPr>
      </w:pPr>
    </w:p>
    <w:p w14:paraId="22ED6E58" w14:textId="77777777" w:rsidR="00CA5EF7" w:rsidRPr="00C47B94" w:rsidRDefault="00CA5EF7" w:rsidP="00CA5EF7">
      <w:pPr>
        <w:rPr>
          <w:rFonts w:cstheme="minorHAnsi"/>
          <w:b/>
          <w:sz w:val="22"/>
          <w:szCs w:val="22"/>
          <w:lang w:eastAsia="en-US"/>
        </w:rPr>
      </w:pPr>
      <w:r w:rsidRPr="00C47B94">
        <w:rPr>
          <w:rFonts w:cstheme="minorHAnsi"/>
          <w:b/>
        </w:rPr>
        <w:t xml:space="preserve">Платежи в бюджет Кыргызской Республики и обязательные отчисления </w:t>
      </w:r>
    </w:p>
    <w:p w14:paraId="09AEEDD4" w14:textId="77777777" w:rsidR="00CA5EF7" w:rsidRPr="00C47B94" w:rsidRDefault="00CA5EF7" w:rsidP="00CA5EF7">
      <w:pPr>
        <w:rPr>
          <w:rFonts w:cstheme="minorHAnsi"/>
        </w:rPr>
      </w:pPr>
    </w:p>
    <w:p w14:paraId="16E698E9" w14:textId="77777777" w:rsidR="00CA5EF7" w:rsidRDefault="00CA5EF7" w:rsidP="00CA5EF7">
      <w:pPr>
        <w:jc w:val="both"/>
      </w:pPr>
      <w:r w:rsidRPr="006D2339">
        <w:t>За 202</w:t>
      </w:r>
      <w:r>
        <w:t>5</w:t>
      </w:r>
      <w:r w:rsidRPr="006D2339">
        <w:t xml:space="preserve"> год платежи в бюджет Кыргызской Республики в виде налогов, отчислений в Социальный фонд Кыргызской Республики и другие обязательные платежи, предусмотренные Пересмотренным инвестиционным соглашением (ПИС) 2009 года, составили </w:t>
      </w:r>
      <w:r>
        <w:t>246</w:t>
      </w:r>
      <w:r w:rsidRPr="006D2339">
        <w:t>,</w:t>
      </w:r>
      <w:r>
        <w:t>5</w:t>
      </w:r>
      <w:r w:rsidRPr="006D2339">
        <w:t xml:space="preserve"> млн </w:t>
      </w:r>
      <w:proofErr w:type="spellStart"/>
      <w:r w:rsidRPr="006D2339">
        <w:t>долл</w:t>
      </w:r>
      <w:proofErr w:type="spellEnd"/>
      <w:r w:rsidRPr="006D2339">
        <w:t xml:space="preserve"> США (</w:t>
      </w:r>
      <w:r>
        <w:t>21</w:t>
      </w:r>
      <w:r w:rsidRPr="006D2339">
        <w:t>,</w:t>
      </w:r>
      <w:r>
        <w:t>5</w:t>
      </w:r>
      <w:r w:rsidRPr="006D2339">
        <w:t xml:space="preserve"> млрд</w:t>
      </w:r>
      <w:r>
        <w:t xml:space="preserve"> сомов).</w:t>
      </w:r>
    </w:p>
    <w:p w14:paraId="2784F3A5" w14:textId="77777777" w:rsidR="00CA5EF7" w:rsidRPr="009E47AD" w:rsidRDefault="00CA5EF7" w:rsidP="00CA5EF7">
      <w:pPr>
        <w:jc w:val="both"/>
        <w:rPr>
          <w:rFonts w:cstheme="minorBidi"/>
          <w:b/>
          <w:bCs/>
        </w:rPr>
      </w:pPr>
    </w:p>
    <w:p w14:paraId="3283C1FB" w14:textId="77777777" w:rsidR="00CA5EF7" w:rsidRPr="00C243B5" w:rsidRDefault="00CA5EF7" w:rsidP="00CA5EF7">
      <w:pPr>
        <w:jc w:val="both"/>
        <w:rPr>
          <w:rFonts w:cstheme="minorBidi"/>
          <w:b/>
          <w:bCs/>
        </w:rPr>
      </w:pPr>
    </w:p>
    <w:p w14:paraId="03B58724" w14:textId="77777777" w:rsidR="00CA5EF7" w:rsidRDefault="00CA5EF7" w:rsidP="00CA5EF7">
      <w:pPr>
        <w:rPr>
          <w:rFonts w:cstheme="minorBidi"/>
          <w:b/>
          <w:bCs/>
          <w:i/>
          <w:iCs/>
        </w:rPr>
      </w:pPr>
      <w:r>
        <w:rPr>
          <w:rFonts w:cstheme="minorBidi"/>
          <w:b/>
          <w:bCs/>
          <w:i/>
          <w:iCs/>
        </w:rPr>
        <w:t xml:space="preserve">Вклад Кумтора в виде налогов, выплат в Фонды и обязательных платежей за </w:t>
      </w:r>
      <w:r w:rsidRPr="64B7B700">
        <w:rPr>
          <w:rFonts w:cstheme="minorBidi"/>
          <w:b/>
          <w:bCs/>
          <w:i/>
          <w:iCs/>
        </w:rPr>
        <w:t>202</w:t>
      </w:r>
      <w:r w:rsidRPr="009E47AD">
        <w:rPr>
          <w:rFonts w:cstheme="minorBidi"/>
          <w:b/>
          <w:bCs/>
          <w:i/>
          <w:iCs/>
        </w:rPr>
        <w:t>5</w:t>
      </w:r>
      <w:r w:rsidRPr="64B7B700">
        <w:rPr>
          <w:rFonts w:cstheme="minorBidi"/>
          <w:b/>
          <w:bCs/>
          <w:i/>
          <w:iCs/>
        </w:rPr>
        <w:t xml:space="preserve"> год</w:t>
      </w:r>
      <w:r>
        <w:rPr>
          <w:rFonts w:cstheme="minorBidi"/>
          <w:b/>
          <w:bCs/>
          <w:i/>
          <w:iCs/>
        </w:rPr>
        <w:t>.</w:t>
      </w:r>
    </w:p>
    <w:p w14:paraId="660E1218" w14:textId="77777777" w:rsidR="00CA5EF7" w:rsidRPr="00B448B6" w:rsidRDefault="00CA5EF7" w:rsidP="00CA5EF7">
      <w:pPr>
        <w:rPr>
          <w:rFonts w:cstheme="minorBidi"/>
          <w:b/>
          <w:bCs/>
          <w:i/>
          <w:iCs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0"/>
        <w:gridCol w:w="1720"/>
        <w:gridCol w:w="2500"/>
      </w:tblGrid>
      <w:tr w:rsidR="00CA5EF7" w:rsidRPr="00A34D31" w14:paraId="228972A7" w14:textId="77777777" w:rsidTr="00DE5CBB">
        <w:trPr>
          <w:trHeight w:val="300"/>
        </w:trPr>
        <w:tc>
          <w:tcPr>
            <w:tcW w:w="5560" w:type="dxa"/>
            <w:vAlign w:val="center"/>
            <w:hideMark/>
          </w:tcPr>
          <w:p w14:paraId="44D90E64" w14:textId="77777777" w:rsidR="00CA5EF7" w:rsidRPr="00A34D31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F1304D">
              <w:rPr>
                <w:b/>
                <w:bCs/>
                <w:color w:val="000000"/>
                <w:sz w:val="20"/>
                <w:szCs w:val="20"/>
              </w:rPr>
              <w:t>Налоги, выплаты в Фонды и др. обязательные платежи КГК</w:t>
            </w:r>
          </w:p>
        </w:tc>
        <w:tc>
          <w:tcPr>
            <w:tcW w:w="1720" w:type="dxa"/>
            <w:noWrap/>
            <w:vAlign w:val="center"/>
            <w:hideMark/>
          </w:tcPr>
          <w:p w14:paraId="5609ECD7" w14:textId="77777777" w:rsidR="00CA5EF7" w:rsidRPr="00A34D31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  <w:tc>
          <w:tcPr>
            <w:tcW w:w="2500" w:type="dxa"/>
            <w:noWrap/>
            <w:vAlign w:val="center"/>
          </w:tcPr>
          <w:p w14:paraId="55CFDE21" w14:textId="77777777" w:rsidR="00CA5EF7" w:rsidRPr="00A34D31" w:rsidRDefault="00CA5EF7" w:rsidP="00DE5CBB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2025 г.</w:t>
            </w:r>
          </w:p>
        </w:tc>
      </w:tr>
      <w:tr w:rsidR="00CA5EF7" w:rsidRPr="00A34D31" w14:paraId="6CBFC9D5" w14:textId="77777777" w:rsidTr="00DE5CBB">
        <w:trPr>
          <w:trHeight w:val="300"/>
        </w:trPr>
        <w:tc>
          <w:tcPr>
            <w:tcW w:w="5560" w:type="dxa"/>
            <w:noWrap/>
            <w:vAlign w:val="center"/>
          </w:tcPr>
          <w:p w14:paraId="0E004245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20" w:type="dxa"/>
            <w:noWrap/>
            <w:vAlign w:val="center"/>
          </w:tcPr>
          <w:p w14:paraId="3AFAFD20" w14:textId="77777777" w:rsidR="00CA5EF7" w:rsidRPr="00A34D31" w:rsidRDefault="00CA5EF7" w:rsidP="00DE5CBB">
            <w:pPr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A34D31">
              <w:rPr>
                <w:b/>
                <w:bCs/>
                <w:color w:val="000000"/>
                <w:sz w:val="20"/>
                <w:szCs w:val="20"/>
              </w:rPr>
              <w:t>тыс</w:t>
            </w:r>
            <w:proofErr w:type="spellEnd"/>
            <w:r w:rsidRPr="00A34D31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34D31">
              <w:rPr>
                <w:b/>
                <w:bCs/>
                <w:color w:val="000000"/>
                <w:sz w:val="20"/>
                <w:szCs w:val="20"/>
              </w:rPr>
              <w:t>долл</w:t>
            </w:r>
            <w:proofErr w:type="spellEnd"/>
            <w:r w:rsidRPr="00A34D31">
              <w:rPr>
                <w:b/>
                <w:bCs/>
                <w:color w:val="000000"/>
                <w:sz w:val="20"/>
                <w:szCs w:val="20"/>
              </w:rPr>
              <w:t xml:space="preserve"> США</w:t>
            </w:r>
          </w:p>
        </w:tc>
        <w:tc>
          <w:tcPr>
            <w:tcW w:w="2500" w:type="dxa"/>
            <w:noWrap/>
            <w:vAlign w:val="center"/>
          </w:tcPr>
          <w:p w14:paraId="49CD86F9" w14:textId="77777777" w:rsidR="00CA5EF7" w:rsidRPr="00A34D31" w:rsidRDefault="00CA5EF7" w:rsidP="00DE5CBB">
            <w:pPr>
              <w:jc w:val="center"/>
              <w:rPr>
                <w:color w:val="000000"/>
                <w:sz w:val="20"/>
                <w:szCs w:val="20"/>
              </w:rPr>
            </w:pPr>
            <w:r w:rsidRPr="00A34D31">
              <w:rPr>
                <w:b/>
                <w:bCs/>
                <w:color w:val="000000"/>
                <w:sz w:val="20"/>
                <w:szCs w:val="20"/>
              </w:rPr>
              <w:t>тыс. сом</w:t>
            </w:r>
          </w:p>
        </w:tc>
      </w:tr>
      <w:tr w:rsidR="00CA5EF7" w:rsidRPr="00A34D31" w14:paraId="577E846B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14AEE63E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Налог на Валовой Доход (13%)</w:t>
            </w:r>
          </w:p>
        </w:tc>
        <w:tc>
          <w:tcPr>
            <w:tcW w:w="1720" w:type="dxa"/>
            <w:noWrap/>
            <w:vAlign w:val="center"/>
            <w:hideMark/>
          </w:tcPr>
          <w:p w14:paraId="14C3A7BA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162 785</w:t>
            </w:r>
          </w:p>
        </w:tc>
        <w:tc>
          <w:tcPr>
            <w:tcW w:w="2500" w:type="dxa"/>
            <w:noWrap/>
            <w:vAlign w:val="center"/>
            <w:hideMark/>
          </w:tcPr>
          <w:p w14:paraId="31063DD3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14 225 161 </w:t>
            </w:r>
          </w:p>
        </w:tc>
      </w:tr>
      <w:tr w:rsidR="00CA5EF7" w:rsidRPr="00A34D31" w14:paraId="34A96D65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2BAAE2A0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Ежегодная сумма на прирост минерально-сырьевой базы (4%)</w:t>
            </w:r>
          </w:p>
        </w:tc>
        <w:tc>
          <w:tcPr>
            <w:tcW w:w="1720" w:type="dxa"/>
            <w:noWrap/>
            <w:vAlign w:val="center"/>
            <w:hideMark/>
          </w:tcPr>
          <w:p w14:paraId="55C4E13A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 24 393 </w:t>
            </w:r>
          </w:p>
        </w:tc>
        <w:tc>
          <w:tcPr>
            <w:tcW w:w="2500" w:type="dxa"/>
            <w:noWrap/>
            <w:vAlign w:val="center"/>
            <w:hideMark/>
          </w:tcPr>
          <w:p w14:paraId="7D014462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2 110 133 </w:t>
            </w:r>
          </w:p>
        </w:tc>
      </w:tr>
      <w:tr w:rsidR="00CA5EF7" w:rsidRPr="00A34D31" w14:paraId="4A3EAB50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62D69707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Иссык-Кульский взнос (1%)</w:t>
            </w:r>
          </w:p>
        </w:tc>
        <w:tc>
          <w:tcPr>
            <w:tcW w:w="1720" w:type="dxa"/>
            <w:noWrap/>
            <w:vAlign w:val="center"/>
            <w:hideMark/>
          </w:tcPr>
          <w:p w14:paraId="5D6CD17D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12 522</w:t>
            </w:r>
          </w:p>
        </w:tc>
        <w:tc>
          <w:tcPr>
            <w:tcW w:w="2500" w:type="dxa"/>
            <w:noWrap/>
            <w:vAlign w:val="center"/>
            <w:hideMark/>
          </w:tcPr>
          <w:p w14:paraId="32ADA278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1 094 243 </w:t>
            </w:r>
          </w:p>
        </w:tc>
      </w:tr>
      <w:tr w:rsidR="00CA5EF7" w:rsidRPr="00A34D31" w14:paraId="16E8EC07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613EEE1B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Налог на прибыль</w:t>
            </w:r>
          </w:p>
        </w:tc>
        <w:tc>
          <w:tcPr>
            <w:tcW w:w="1720" w:type="dxa"/>
            <w:noWrap/>
            <w:vAlign w:val="center"/>
            <w:hideMark/>
          </w:tcPr>
          <w:p w14:paraId="46417E0A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181</w:t>
            </w:r>
          </w:p>
        </w:tc>
        <w:tc>
          <w:tcPr>
            <w:tcW w:w="2500" w:type="dxa"/>
            <w:noWrap/>
            <w:vAlign w:val="center"/>
            <w:hideMark/>
          </w:tcPr>
          <w:p w14:paraId="598D259D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15 807</w:t>
            </w:r>
          </w:p>
        </w:tc>
      </w:tr>
      <w:tr w:rsidR="00CA5EF7" w:rsidRPr="00A34D31" w14:paraId="361E6DDA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00B382EB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Отчисления по социальному страхованию</w:t>
            </w:r>
          </w:p>
        </w:tc>
        <w:tc>
          <w:tcPr>
            <w:tcW w:w="1720" w:type="dxa"/>
            <w:noWrap/>
            <w:vAlign w:val="center"/>
            <w:hideMark/>
          </w:tcPr>
          <w:p w14:paraId="01B21198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28 233</w:t>
            </w:r>
          </w:p>
        </w:tc>
        <w:tc>
          <w:tcPr>
            <w:tcW w:w="2500" w:type="dxa"/>
            <w:noWrap/>
            <w:vAlign w:val="center"/>
            <w:hideMark/>
          </w:tcPr>
          <w:p w14:paraId="2759ABBE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2 468 752 </w:t>
            </w:r>
          </w:p>
        </w:tc>
      </w:tr>
      <w:tr w:rsidR="00CA5EF7" w:rsidRPr="00A34D31" w14:paraId="62DAC9B0" w14:textId="77777777" w:rsidTr="00DE5CBB">
        <w:trPr>
          <w:trHeight w:val="530"/>
        </w:trPr>
        <w:tc>
          <w:tcPr>
            <w:tcW w:w="5560" w:type="dxa"/>
            <w:vAlign w:val="center"/>
            <w:hideMark/>
          </w:tcPr>
          <w:p w14:paraId="48691CDF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Налоги и сборы (подоходный налог, налог на доходы нерезидентов, НДС, тамож. пошлины и др.)</w:t>
            </w:r>
          </w:p>
        </w:tc>
        <w:tc>
          <w:tcPr>
            <w:tcW w:w="1720" w:type="dxa"/>
            <w:noWrap/>
            <w:vAlign w:val="center"/>
            <w:hideMark/>
          </w:tcPr>
          <w:p w14:paraId="038582EA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6 578</w:t>
            </w:r>
          </w:p>
        </w:tc>
        <w:tc>
          <w:tcPr>
            <w:tcW w:w="2500" w:type="dxa"/>
            <w:noWrap/>
            <w:vAlign w:val="center"/>
            <w:hideMark/>
          </w:tcPr>
          <w:p w14:paraId="33FBEDB3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575 114 </w:t>
            </w:r>
          </w:p>
        </w:tc>
      </w:tr>
      <w:tr w:rsidR="00CA5EF7" w:rsidRPr="00A34D31" w14:paraId="275712C3" w14:textId="77777777" w:rsidTr="00DE5CBB">
        <w:trPr>
          <w:trHeight w:val="530"/>
        </w:trPr>
        <w:tc>
          <w:tcPr>
            <w:tcW w:w="5560" w:type="dxa"/>
            <w:vAlign w:val="center"/>
            <w:hideMark/>
          </w:tcPr>
          <w:p w14:paraId="7E7840B9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Экологические платежи в пользу агентства охраны окружающей среды</w:t>
            </w:r>
          </w:p>
        </w:tc>
        <w:tc>
          <w:tcPr>
            <w:tcW w:w="1720" w:type="dxa"/>
            <w:noWrap/>
            <w:vAlign w:val="center"/>
            <w:hideMark/>
          </w:tcPr>
          <w:p w14:paraId="6657E69A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310</w:t>
            </w:r>
          </w:p>
        </w:tc>
        <w:tc>
          <w:tcPr>
            <w:tcW w:w="2500" w:type="dxa"/>
            <w:noWrap/>
            <w:vAlign w:val="center"/>
            <w:hideMark/>
          </w:tcPr>
          <w:p w14:paraId="55368347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26 970</w:t>
            </w:r>
          </w:p>
        </w:tc>
      </w:tr>
      <w:tr w:rsidR="00CA5EF7" w:rsidRPr="00A34D31" w14:paraId="37444CBB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52777FC1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Фонд развития Нарынской области «</w:t>
            </w:r>
            <w:proofErr w:type="spellStart"/>
            <w:r w:rsidRPr="00A34D31">
              <w:rPr>
                <w:color w:val="000000"/>
                <w:sz w:val="20"/>
                <w:szCs w:val="20"/>
              </w:rPr>
              <w:t>Тенир-Тоо</w:t>
            </w:r>
            <w:proofErr w:type="spellEnd"/>
            <w:r w:rsidRPr="00A34D31">
              <w:rPr>
                <w:color w:val="000000"/>
                <w:sz w:val="20"/>
                <w:szCs w:val="20"/>
              </w:rPr>
              <w:t>» (0,6%)</w:t>
            </w:r>
          </w:p>
        </w:tc>
        <w:tc>
          <w:tcPr>
            <w:tcW w:w="1720" w:type="dxa"/>
            <w:noWrap/>
            <w:vAlign w:val="center"/>
            <w:hideMark/>
          </w:tcPr>
          <w:p w14:paraId="4D6D02CD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7 513</w:t>
            </w:r>
          </w:p>
        </w:tc>
        <w:tc>
          <w:tcPr>
            <w:tcW w:w="2500" w:type="dxa"/>
            <w:noWrap/>
            <w:vAlign w:val="center"/>
            <w:hideMark/>
          </w:tcPr>
          <w:p w14:paraId="6A115DB1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656 546 </w:t>
            </w:r>
          </w:p>
        </w:tc>
      </w:tr>
      <w:tr w:rsidR="00CA5EF7" w:rsidRPr="00A34D31" w14:paraId="0E76FD5D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52407E52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lastRenderedPageBreak/>
              <w:t>Сбор за пользование поверхностными водными ресурсами КР</w:t>
            </w:r>
          </w:p>
        </w:tc>
        <w:tc>
          <w:tcPr>
            <w:tcW w:w="1720" w:type="dxa"/>
            <w:noWrap/>
            <w:vAlign w:val="center"/>
            <w:hideMark/>
          </w:tcPr>
          <w:p w14:paraId="0F3AE835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2 795</w:t>
            </w:r>
          </w:p>
        </w:tc>
        <w:tc>
          <w:tcPr>
            <w:tcW w:w="2500" w:type="dxa"/>
            <w:noWrap/>
            <w:vAlign w:val="center"/>
            <w:hideMark/>
          </w:tcPr>
          <w:p w14:paraId="61EAF99E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244 422</w:t>
            </w:r>
          </w:p>
        </w:tc>
      </w:tr>
      <w:tr w:rsidR="00CA5EF7" w:rsidRPr="00A34D31" w14:paraId="10816609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05E29FE5" w14:textId="77777777" w:rsidR="00CA5EF7" w:rsidRPr="00A34D31" w:rsidRDefault="00CA5EF7" w:rsidP="00DE5CBB">
            <w:pPr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 xml:space="preserve">Взнос в Дорожный фонд </w:t>
            </w:r>
          </w:p>
        </w:tc>
        <w:tc>
          <w:tcPr>
            <w:tcW w:w="1720" w:type="dxa"/>
            <w:noWrap/>
            <w:vAlign w:val="center"/>
            <w:hideMark/>
          </w:tcPr>
          <w:p w14:paraId="621CD620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1 196</w:t>
            </w:r>
          </w:p>
        </w:tc>
        <w:tc>
          <w:tcPr>
            <w:tcW w:w="2500" w:type="dxa"/>
            <w:noWrap/>
            <w:vAlign w:val="center"/>
            <w:hideMark/>
          </w:tcPr>
          <w:p w14:paraId="074F83D6" w14:textId="77777777" w:rsidR="00CA5EF7" w:rsidRPr="00A34D31" w:rsidRDefault="00CA5EF7" w:rsidP="00DE5CBB">
            <w:pPr>
              <w:jc w:val="right"/>
              <w:rPr>
                <w:color w:val="000000"/>
                <w:sz w:val="20"/>
                <w:szCs w:val="20"/>
              </w:rPr>
            </w:pPr>
            <w:r w:rsidRPr="00A34D31">
              <w:rPr>
                <w:color w:val="000000"/>
                <w:sz w:val="20"/>
                <w:szCs w:val="20"/>
              </w:rPr>
              <w:t>104 516</w:t>
            </w:r>
          </w:p>
        </w:tc>
      </w:tr>
      <w:tr w:rsidR="00CA5EF7" w:rsidRPr="00A34D31" w14:paraId="6D5955C1" w14:textId="77777777" w:rsidTr="00DE5CBB">
        <w:trPr>
          <w:trHeight w:val="300"/>
        </w:trPr>
        <w:tc>
          <w:tcPr>
            <w:tcW w:w="5560" w:type="dxa"/>
            <w:noWrap/>
            <w:vAlign w:val="center"/>
            <w:hideMark/>
          </w:tcPr>
          <w:p w14:paraId="4F343113" w14:textId="77777777" w:rsidR="00CA5EF7" w:rsidRPr="00A34D31" w:rsidRDefault="00CA5EF7" w:rsidP="00DE5CBB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A34D31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1720" w:type="dxa"/>
            <w:noWrap/>
            <w:vAlign w:val="center"/>
            <w:hideMark/>
          </w:tcPr>
          <w:p w14:paraId="204B7C86" w14:textId="77777777" w:rsidR="00CA5EF7" w:rsidRPr="00A34D31" w:rsidRDefault="00CA5EF7" w:rsidP="00DE5C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4D31">
              <w:rPr>
                <w:b/>
                <w:bCs/>
                <w:color w:val="000000"/>
                <w:sz w:val="20"/>
                <w:szCs w:val="20"/>
              </w:rPr>
              <w:t>$246 507</w:t>
            </w:r>
          </w:p>
        </w:tc>
        <w:tc>
          <w:tcPr>
            <w:tcW w:w="2500" w:type="dxa"/>
            <w:noWrap/>
            <w:vAlign w:val="center"/>
            <w:hideMark/>
          </w:tcPr>
          <w:p w14:paraId="0AF4D343" w14:textId="77777777" w:rsidR="00CA5EF7" w:rsidRPr="00A34D31" w:rsidRDefault="00CA5EF7" w:rsidP="00DE5CBB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34D31">
              <w:rPr>
                <w:b/>
                <w:bCs/>
                <w:color w:val="000000"/>
                <w:sz w:val="20"/>
                <w:szCs w:val="20"/>
              </w:rPr>
              <w:t xml:space="preserve">21 521 664 </w:t>
            </w:r>
          </w:p>
        </w:tc>
      </w:tr>
    </w:tbl>
    <w:p w14:paraId="173BB198" w14:textId="77777777" w:rsidR="00CA5EF7" w:rsidRDefault="00CA5EF7" w:rsidP="00CA5EF7">
      <w:pPr>
        <w:spacing w:after="160" w:line="259" w:lineRule="auto"/>
        <w:jc w:val="both"/>
        <w:rPr>
          <w:i/>
          <w:sz w:val="23"/>
          <w:szCs w:val="23"/>
          <w:lang w:val="en-US"/>
        </w:rPr>
      </w:pPr>
    </w:p>
    <w:p w14:paraId="6818DE05" w14:textId="77777777" w:rsidR="00CA5EF7" w:rsidRPr="00F17863" w:rsidRDefault="00CA5EF7" w:rsidP="00CA5EF7">
      <w:pPr>
        <w:spacing w:after="160" w:line="259" w:lineRule="auto"/>
        <w:jc w:val="both"/>
      </w:pPr>
      <w:r w:rsidRPr="00F17863">
        <w:rPr>
          <w:i/>
          <w:sz w:val="23"/>
          <w:szCs w:val="23"/>
        </w:rPr>
        <w:t>(</w:t>
      </w:r>
      <w:r w:rsidRPr="00F17863">
        <w:rPr>
          <w:i/>
          <w:sz w:val="16"/>
          <w:szCs w:val="16"/>
        </w:rPr>
        <w:t>*</w:t>
      </w:r>
      <w:r w:rsidRPr="00F17863">
        <w:rPr>
          <w:i/>
          <w:sz w:val="23"/>
          <w:szCs w:val="23"/>
        </w:rPr>
        <w:t>)</w:t>
      </w:r>
      <w:r w:rsidRPr="00F17863">
        <w:t xml:space="preserve"> </w:t>
      </w:r>
      <w:r w:rsidRPr="00F17863">
        <w:rPr>
          <w:i/>
          <w:sz w:val="16"/>
          <w:szCs w:val="16"/>
        </w:rPr>
        <w:t xml:space="preserve">Базой для расчета налога на валовой доход и взносов в Фонд развития Иссык-Кульской области в соответствии с Соглашением о новых условиях по проекту «Кумтор» от 24 апреля 2009 года являются фактические денежные поступления от реализации продукции за указанный период. </w:t>
      </w:r>
    </w:p>
    <w:p w14:paraId="1D0A62CD" w14:textId="77777777" w:rsidR="00CA5EF7" w:rsidRPr="00B437A6" w:rsidRDefault="00CA5EF7" w:rsidP="00CA5EF7">
      <w:pPr>
        <w:spacing w:after="160" w:line="259" w:lineRule="auto"/>
        <w:jc w:val="both"/>
        <w:rPr>
          <w:rFonts w:cstheme="minorBidi"/>
          <w:b/>
          <w:bCs/>
        </w:rPr>
      </w:pPr>
      <w:r>
        <w:rPr>
          <w:rFonts w:cstheme="minorBidi"/>
          <w:b/>
          <w:bCs/>
        </w:rPr>
        <w:t>Д</w:t>
      </w:r>
      <w:r w:rsidRPr="00B437A6">
        <w:rPr>
          <w:rFonts w:cstheme="minorBidi"/>
          <w:b/>
          <w:bCs/>
        </w:rPr>
        <w:t>ивиденды</w:t>
      </w:r>
    </w:p>
    <w:p w14:paraId="327D050D" w14:textId="77777777" w:rsidR="00CA5EF7" w:rsidRPr="00FF5976" w:rsidRDefault="00CA5EF7" w:rsidP="00CA5EF7">
      <w:pPr>
        <w:jc w:val="both"/>
      </w:pPr>
      <w:r w:rsidRPr="00FF5976">
        <w:t>По итогам 202</w:t>
      </w:r>
      <w:r w:rsidRPr="00C7445F">
        <w:t>4</w:t>
      </w:r>
      <w:r w:rsidRPr="00FF5976">
        <w:t xml:space="preserve"> года были выплачены дивиденды в размере 15</w:t>
      </w:r>
      <w:r>
        <w:t>0</w:t>
      </w:r>
      <w:r w:rsidRPr="00FF5976">
        <w:t>,</w:t>
      </w:r>
      <w:r>
        <w:t>0</w:t>
      </w:r>
      <w:r w:rsidRPr="00FF5976">
        <w:t xml:space="preserve"> млн </w:t>
      </w:r>
      <w:proofErr w:type="spellStart"/>
      <w:r w:rsidRPr="00FF5976">
        <w:t>долл</w:t>
      </w:r>
      <w:proofErr w:type="spellEnd"/>
      <w:r w:rsidRPr="00FF5976">
        <w:t xml:space="preserve"> США, по итогам 202</w:t>
      </w:r>
      <w:r>
        <w:t>5</w:t>
      </w:r>
      <w:r w:rsidRPr="00FF5976">
        <w:t xml:space="preserve"> года были объявлены дивиденды </w:t>
      </w:r>
      <w:r w:rsidRPr="00F4287B">
        <w:t xml:space="preserve">в размере 300,0 млн </w:t>
      </w:r>
      <w:proofErr w:type="spellStart"/>
      <w:r w:rsidRPr="00F4287B">
        <w:t>долл</w:t>
      </w:r>
      <w:proofErr w:type="spellEnd"/>
      <w:r w:rsidRPr="00F4287B">
        <w:t xml:space="preserve"> США</w:t>
      </w:r>
      <w:r w:rsidRPr="00FF5976">
        <w:t xml:space="preserve">. </w:t>
      </w:r>
    </w:p>
    <w:p w14:paraId="01378E81" w14:textId="77777777" w:rsidR="00CA5EF7" w:rsidRPr="00C7445F" w:rsidRDefault="00CA5EF7" w:rsidP="00CA5EF7">
      <w:pPr>
        <w:spacing w:after="160" w:line="259" w:lineRule="auto"/>
        <w:jc w:val="both"/>
        <w:rPr>
          <w:rFonts w:cstheme="minorBidi"/>
          <w:b/>
          <w:i/>
        </w:rPr>
      </w:pPr>
    </w:p>
    <w:p w14:paraId="4B62A8FA" w14:textId="77777777" w:rsidR="00CA5EF7" w:rsidRPr="007C10D2" w:rsidRDefault="00CA5EF7" w:rsidP="00CA5EF7">
      <w:pPr>
        <w:spacing w:after="160" w:line="259" w:lineRule="auto"/>
        <w:jc w:val="both"/>
        <w:rPr>
          <w:b/>
          <w:bCs/>
        </w:rPr>
      </w:pPr>
      <w:r w:rsidRPr="64B7B700">
        <w:rPr>
          <w:b/>
          <w:bCs/>
        </w:rPr>
        <w:t>Комментарий</w:t>
      </w:r>
    </w:p>
    <w:p w14:paraId="22F96EEB" w14:textId="77777777" w:rsidR="00CA5EF7" w:rsidRPr="00E83FF9" w:rsidRDefault="00CA5EF7" w:rsidP="00CA5EF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  <w:r w:rsidRPr="64B7B700">
        <w:rPr>
          <w:rFonts w:ascii="Times New Roman" w:hAnsi="Times New Roman" w:cs="Times New Roman"/>
          <w:b/>
          <w:bCs/>
          <w:sz w:val="24"/>
          <w:szCs w:val="24"/>
        </w:rPr>
        <w:t>Рудник «Кумтор»</w:t>
      </w:r>
      <w:r w:rsidRPr="64B7B700">
        <w:rPr>
          <w:rFonts w:ascii="Times New Roman" w:hAnsi="Times New Roman" w:cs="Times New Roman"/>
          <w:sz w:val="24"/>
          <w:szCs w:val="24"/>
        </w:rPr>
        <w:t>, расположенный в Кыргызской Республике, является крупнейшим золоторудным предприятием Центральной Азии</w:t>
      </w:r>
      <w:r>
        <w:rPr>
          <w:rFonts w:ascii="Times New Roman" w:hAnsi="Times New Roman" w:cs="Times New Roman"/>
          <w:sz w:val="24"/>
          <w:szCs w:val="24"/>
        </w:rPr>
        <w:t>,</w:t>
      </w:r>
      <w:r w:rsidRPr="64B7B700">
        <w:rPr>
          <w:rFonts w:ascii="Times New Roman" w:hAnsi="Times New Roman" w:cs="Times New Roman"/>
          <w:sz w:val="24"/>
          <w:szCs w:val="24"/>
        </w:rPr>
        <w:t xml:space="preserve"> всего, с начала промышленного производства в мае 1997 года по 31 декабря 202</w:t>
      </w:r>
      <w:r>
        <w:rPr>
          <w:rFonts w:ascii="Times New Roman" w:hAnsi="Times New Roman" w:cs="Times New Roman"/>
          <w:sz w:val="24"/>
          <w:szCs w:val="24"/>
        </w:rPr>
        <w:t>4</w:t>
      </w:r>
      <w:r w:rsidRPr="64B7B700">
        <w:rPr>
          <w:rFonts w:ascii="Times New Roman" w:hAnsi="Times New Roman" w:cs="Times New Roman"/>
          <w:sz w:val="24"/>
          <w:szCs w:val="24"/>
        </w:rPr>
        <w:t xml:space="preserve"> года, на месторождении «Кумтор» </w:t>
      </w:r>
      <w:r w:rsidRPr="00322F3C">
        <w:rPr>
          <w:rFonts w:ascii="Times New Roman" w:hAnsi="Times New Roman" w:cs="Times New Roman"/>
          <w:sz w:val="24"/>
          <w:szCs w:val="24"/>
        </w:rPr>
        <w:t xml:space="preserve">произведено </w:t>
      </w:r>
      <w:r w:rsidRPr="00EF58D6">
        <w:rPr>
          <w:rFonts w:ascii="Times New Roman" w:hAnsi="Times New Roman" w:cs="Times New Roman"/>
          <w:b/>
          <w:sz w:val="24"/>
          <w:szCs w:val="24"/>
        </w:rPr>
        <w:t>15,4 млн унций золота</w:t>
      </w:r>
      <w:r w:rsidRPr="00EF58D6">
        <w:rPr>
          <w:rFonts w:ascii="Times New Roman" w:hAnsi="Times New Roman" w:cs="Times New Roman"/>
          <w:sz w:val="24"/>
          <w:szCs w:val="24"/>
        </w:rPr>
        <w:t>.</w:t>
      </w:r>
    </w:p>
    <w:p w14:paraId="5620E21F" w14:textId="77777777" w:rsidR="00CA5EF7" w:rsidRPr="0041118B" w:rsidRDefault="00CA5EF7" w:rsidP="00CA5EF7">
      <w:pPr>
        <w:pStyle w:val="HTMLPreformatted"/>
        <w:jc w:val="both"/>
        <w:rPr>
          <w:rFonts w:ascii="Times New Roman" w:hAnsi="Times New Roman" w:cs="Times New Roman"/>
          <w:sz w:val="24"/>
          <w:szCs w:val="24"/>
        </w:rPr>
      </w:pPr>
    </w:p>
    <w:p w14:paraId="468F944E" w14:textId="77777777" w:rsidR="00CA5EF7" w:rsidRPr="00367919" w:rsidRDefault="00CA5EF7" w:rsidP="00CA5EF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64B7B70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14:paraId="0D395466" w14:textId="77777777" w:rsidR="00CA5EF7" w:rsidRPr="00C47B94" w:rsidRDefault="00CA5EF7" w:rsidP="00CA5EF7">
      <w:pPr>
        <w:pStyle w:val="NoSpacing"/>
        <w:jc w:val="center"/>
        <w:rPr>
          <w:b/>
          <w:bCs/>
          <w:sz w:val="20"/>
          <w:szCs w:val="20"/>
        </w:rPr>
      </w:pPr>
      <w:r w:rsidRPr="00C47B94">
        <w:rPr>
          <w:b/>
          <w:bCs/>
          <w:sz w:val="20"/>
          <w:szCs w:val="20"/>
        </w:rPr>
        <w:t>За дополнительной информацией просьба обращаться в отдел по связям со СМИ</w:t>
      </w:r>
    </w:p>
    <w:p w14:paraId="6B677B48" w14:textId="77777777" w:rsidR="00CA5EF7" w:rsidRPr="00C47B94" w:rsidRDefault="00CA5EF7" w:rsidP="00CA5EF7">
      <w:pPr>
        <w:pStyle w:val="NoSpacing"/>
        <w:jc w:val="center"/>
        <w:rPr>
          <w:b/>
          <w:sz w:val="20"/>
          <w:szCs w:val="20"/>
        </w:rPr>
      </w:pPr>
      <w:r w:rsidRPr="00C47B94">
        <w:rPr>
          <w:b/>
          <w:sz w:val="20"/>
          <w:szCs w:val="20"/>
        </w:rPr>
        <w:t xml:space="preserve">Тел: (312) 90-07-07; 90-08-08; факс: (312) 90-07-28 </w:t>
      </w:r>
    </w:p>
    <w:p w14:paraId="7BF17C21" w14:textId="77777777" w:rsidR="00CA5EF7" w:rsidRPr="00FB6571" w:rsidRDefault="00CA5EF7" w:rsidP="00CA5EF7">
      <w:pPr>
        <w:pStyle w:val="NoSpacing"/>
        <w:jc w:val="center"/>
        <w:rPr>
          <w:b/>
          <w:bCs/>
          <w:sz w:val="20"/>
          <w:szCs w:val="20"/>
        </w:rPr>
      </w:pPr>
      <w:r w:rsidRPr="00C47B94">
        <w:rPr>
          <w:sz w:val="20"/>
          <w:szCs w:val="20"/>
        </w:rPr>
        <w:t xml:space="preserve">- </w:t>
      </w:r>
      <w:r w:rsidRPr="00C47B94">
        <w:rPr>
          <w:b/>
          <w:sz w:val="20"/>
          <w:szCs w:val="20"/>
        </w:rPr>
        <w:t>Конец сообщения</w:t>
      </w:r>
      <w:r w:rsidRPr="00C47B94">
        <w:rPr>
          <w:sz w:val="20"/>
          <w:szCs w:val="20"/>
        </w:rPr>
        <w:t xml:space="preserve"> -</w:t>
      </w:r>
      <w:r w:rsidRPr="00FB6571">
        <w:rPr>
          <w:b/>
          <w:bCs/>
          <w:sz w:val="20"/>
          <w:szCs w:val="20"/>
        </w:rPr>
        <w:t xml:space="preserve">   </w:t>
      </w:r>
    </w:p>
    <w:p w14:paraId="7A33EB4E" w14:textId="77777777" w:rsidR="00CA5EF7" w:rsidRPr="00B729D6" w:rsidRDefault="00CA5EF7" w:rsidP="00CA5EF7">
      <w:pPr>
        <w:pStyle w:val="NoSpacing"/>
        <w:spacing w:after="120"/>
        <w:jc w:val="both"/>
        <w:rPr>
          <w:color w:val="FF0000"/>
          <w:lang w:val="ky-KG"/>
        </w:rPr>
      </w:pPr>
    </w:p>
    <w:p w14:paraId="6A2D5396" w14:textId="77777777" w:rsidR="00B67AF2" w:rsidRDefault="00B67AF2"/>
    <w:sectPr w:rsidR="00B67AF2" w:rsidSect="00CA5EF7">
      <w:footerReference w:type="default" r:id="rId6"/>
      <w:pgSz w:w="12240" w:h="15840"/>
      <w:pgMar w:top="1134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FB495" w14:textId="77777777" w:rsidR="0029687D" w:rsidRDefault="0029687D">
      <w:r>
        <w:separator/>
      </w:r>
    </w:p>
  </w:endnote>
  <w:endnote w:type="continuationSeparator" w:id="0">
    <w:p w14:paraId="14EDED2A" w14:textId="77777777" w:rsidR="0029687D" w:rsidRDefault="002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338864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4D71024" w14:textId="77777777" w:rsidR="00CA5EF7" w:rsidRDefault="00CA5E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92F1D8" w14:textId="77777777" w:rsidR="00CA5EF7" w:rsidRDefault="00CA5EF7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EDA28" w14:textId="77777777" w:rsidR="0029687D" w:rsidRDefault="0029687D">
      <w:r>
        <w:separator/>
      </w:r>
    </w:p>
  </w:footnote>
  <w:footnote w:type="continuationSeparator" w:id="0">
    <w:p w14:paraId="6FE2FF0A" w14:textId="77777777" w:rsidR="0029687D" w:rsidRDefault="002968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7"/>
    <w:rsid w:val="00052474"/>
    <w:rsid w:val="00075B8E"/>
    <w:rsid w:val="000A54A0"/>
    <w:rsid w:val="001B1771"/>
    <w:rsid w:val="0029687D"/>
    <w:rsid w:val="00496F0B"/>
    <w:rsid w:val="007B1801"/>
    <w:rsid w:val="00A24219"/>
    <w:rsid w:val="00B67AF2"/>
    <w:rsid w:val="00CA5EF7"/>
    <w:rsid w:val="00D30572"/>
    <w:rsid w:val="00E35E18"/>
    <w:rsid w:val="00E44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38B8B"/>
  <w15:chartTrackingRefBased/>
  <w15:docId w15:val="{D370229F-6EC3-4915-ADC3-37A682E84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5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5EF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5EF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5EF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5EF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5EF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5EF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5EF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5EF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5EF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5E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5E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5E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5E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5E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5E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5E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5E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5E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5E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A5E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5EF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A5E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5EF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A5E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5EF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A5E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5E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5E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5EF7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CA5EF7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5EF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efault">
    <w:name w:val="Default"/>
    <w:rsid w:val="00CA5E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paragraph" w:styleId="NoSpacing">
    <w:name w:val="No Spacing"/>
    <w:uiPriority w:val="1"/>
    <w:qFormat/>
    <w:rsid w:val="00CA5EF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Preformatted">
    <w:name w:val="HTML Preformatted"/>
    <w:basedOn w:val="Normal"/>
    <w:link w:val="HTMLPreformattedChar"/>
    <w:rsid w:val="00CA5E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CA5EF7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524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4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474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4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474"/>
    <w:rPr>
      <w:rFonts w:ascii="Times New Roman" w:eastAsia="Times New Roman" w:hAnsi="Times New Roman" w:cs="Times New Roman"/>
      <w:b/>
      <w:bCs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5</Pages>
  <Words>1624</Words>
  <Characters>8433</Characters>
  <Application>Microsoft Office Word</Application>
  <DocSecurity>0</DocSecurity>
  <Lines>240</Lines>
  <Paragraphs>162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Bakytbek Mayliev</dc:creator>
  <cp:keywords/>
  <dc:description/>
  <cp:lastModifiedBy>Nurbek Rabidinov</cp:lastModifiedBy>
  <cp:revision>3</cp:revision>
  <dcterms:created xsi:type="dcterms:W3CDTF">2026-05-13T09:11:00Z</dcterms:created>
  <dcterms:modified xsi:type="dcterms:W3CDTF">2026-05-26T09:30:00Z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2026-05-13T09:13:20Z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c3c01579-b7f4-4ca9-8db1-1f7d6a064455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