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C04A7D"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C04A7D">
        <w:rPr>
          <w:rFonts w:ascii="Times New Roman" w:hAnsi="Times New Roman" w:cs="Times New Roman"/>
          <w:b/>
          <w:bCs/>
          <w:sz w:val="22"/>
          <w:szCs w:val="22"/>
          <w:lang w:val="ru-RU"/>
        </w:rPr>
        <w:t>Приложение №1</w:t>
      </w:r>
    </w:p>
    <w:p w14:paraId="3E04380E" w14:textId="2795B407" w:rsidR="00363020" w:rsidRPr="00C04A7D" w:rsidRDefault="00363020" w:rsidP="00E006AB">
      <w:pPr>
        <w:tabs>
          <w:tab w:val="left" w:pos="450"/>
        </w:tabs>
        <w:spacing w:after="0"/>
        <w:jc w:val="center"/>
        <w:rPr>
          <w:rFonts w:ascii="Times New Roman" w:hAnsi="Times New Roman" w:cs="Times New Roman"/>
          <w:sz w:val="22"/>
          <w:szCs w:val="22"/>
          <w:lang w:val="ru-RU"/>
        </w:rPr>
      </w:pPr>
      <w:r w:rsidRPr="00C04A7D">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C04A7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C04A7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C04A7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C04A7D"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C04A7D"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Конкурсная заявка </w:t>
      </w:r>
    </w:p>
    <w:p w14:paraId="6C08F6C8"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C04A7D">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таблица цен на поставку товаров; </w:t>
      </w:r>
    </w:p>
    <w:p w14:paraId="126A474D"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C04A7D"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C04A7D">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таблица цен на поставку товаров; </w:t>
      </w:r>
    </w:p>
    <w:p w14:paraId="1DB88D2D"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C04A7D"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C04A7D"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C04A7D"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C04A7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C04A7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C04A7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C04A7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C04A7D"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C04A7D"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C04A7D"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C04A7D"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в форме банковской гарантии; </w:t>
      </w:r>
    </w:p>
    <w:p w14:paraId="399260E7"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C04A7D"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Консорциум </w:t>
      </w:r>
    </w:p>
    <w:p w14:paraId="40E27DB1" w14:textId="77777777" w:rsidR="00363020" w:rsidRPr="00C04A7D"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C04A7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C04A7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C04A7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C04A7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C04A7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C04A7D"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Квалификационные требования </w:t>
      </w:r>
    </w:p>
    <w:p w14:paraId="4C6316CD" w14:textId="77777777" w:rsidR="00363020" w:rsidRPr="00C04A7D"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C04A7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C04A7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C04A7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C04A7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C04A7D"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C04A7D"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Техническая спецификация </w:t>
      </w:r>
    </w:p>
    <w:p w14:paraId="1D190163"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C04A7D"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C04A7D" w:rsidRDefault="00363020"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C04A7D">
        <w:rPr>
          <w:rFonts w:ascii="Times New Roman" w:hAnsi="Times New Roman" w:cs="Times New Roman"/>
          <w:sz w:val="22"/>
          <w:szCs w:val="22"/>
          <w:lang w:val="ru-RU"/>
        </w:rPr>
        <w:br w:type="page"/>
      </w:r>
    </w:p>
    <w:p w14:paraId="102E063C" w14:textId="3E70B600" w:rsidR="00A546A8" w:rsidRPr="00C04A7D" w:rsidRDefault="00A546A8" w:rsidP="00E006AB">
      <w:pPr>
        <w:pStyle w:val="26"/>
        <w:keepNext/>
        <w:keepLines/>
        <w:shd w:val="clear" w:color="auto" w:fill="auto"/>
        <w:spacing w:after="0" w:line="220" w:lineRule="exact"/>
        <w:rPr>
          <w:sz w:val="22"/>
          <w:szCs w:val="22"/>
          <w:lang w:val="ru-RU"/>
        </w:rPr>
      </w:pPr>
      <w:r w:rsidRPr="00C04A7D">
        <w:rPr>
          <w:sz w:val="22"/>
          <w:szCs w:val="22"/>
          <w:lang w:val="ru-RU"/>
        </w:rPr>
        <w:lastRenderedPageBreak/>
        <w:t>Приложение №</w:t>
      </w:r>
      <w:r w:rsidR="00363020" w:rsidRPr="00C04A7D">
        <w:rPr>
          <w:sz w:val="22"/>
          <w:szCs w:val="22"/>
          <w:lang w:val="ru-RU"/>
        </w:rPr>
        <w:t>2</w:t>
      </w:r>
      <w:r w:rsidRPr="00C04A7D">
        <w:rPr>
          <w:sz w:val="22"/>
          <w:szCs w:val="22"/>
          <w:lang w:val="ru-RU"/>
        </w:rPr>
        <w:t xml:space="preserve"> </w:t>
      </w:r>
    </w:p>
    <w:p w14:paraId="48FE90ED" w14:textId="77777777" w:rsidR="00A546A8" w:rsidRPr="00C04A7D" w:rsidRDefault="00A546A8" w:rsidP="00E006AB">
      <w:pPr>
        <w:spacing w:after="0"/>
        <w:jc w:val="both"/>
        <w:rPr>
          <w:rFonts w:ascii="Times New Roman" w:hAnsi="Times New Roman" w:cs="Times New Roman"/>
          <w:b/>
          <w:bCs/>
          <w:sz w:val="22"/>
          <w:szCs w:val="22"/>
          <w:lang w:val="ru-RU"/>
        </w:rPr>
      </w:pPr>
    </w:p>
    <w:p w14:paraId="06BDE08B" w14:textId="0502E26A" w:rsidR="00A546A8" w:rsidRPr="00C04A7D" w:rsidRDefault="00A546A8" w:rsidP="00E006AB">
      <w:pPr>
        <w:spacing w:after="0"/>
        <w:jc w:val="center"/>
        <w:rPr>
          <w:rFonts w:ascii="Times New Roman" w:hAnsi="Times New Roman" w:cs="Times New Roman"/>
          <w:sz w:val="22"/>
          <w:szCs w:val="22"/>
          <w:lang w:val="ru-RU"/>
        </w:rPr>
      </w:pPr>
      <w:r w:rsidRPr="00C04A7D">
        <w:rPr>
          <w:rFonts w:ascii="Times New Roman" w:hAnsi="Times New Roman" w:cs="Times New Roman"/>
          <w:b/>
          <w:bCs/>
          <w:sz w:val="22"/>
          <w:szCs w:val="22"/>
          <w:lang w:val="ru-RU"/>
        </w:rPr>
        <w:t>ЗАЯВКА/ПРЕДЛОЖЕНИЕ ПОСТАВЩИКА</w:t>
      </w:r>
    </w:p>
    <w:p w14:paraId="09F60C19" w14:textId="3342CCF5"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Кому: ЗАО Кумтор Голд </w:t>
      </w:r>
      <w:r w:rsidR="00A239BE" w:rsidRPr="00C04A7D">
        <w:rPr>
          <w:rFonts w:ascii="Times New Roman" w:hAnsi="Times New Roman" w:cs="Times New Roman"/>
          <w:sz w:val="22"/>
          <w:szCs w:val="22"/>
          <w:lang w:val="ru-RU"/>
        </w:rPr>
        <w:t>Компани</w:t>
      </w:r>
      <w:r w:rsidRPr="00C04A7D">
        <w:rPr>
          <w:rFonts w:ascii="Times New Roman" w:hAnsi="Times New Roman" w:cs="Times New Roman"/>
          <w:sz w:val="22"/>
          <w:szCs w:val="22"/>
          <w:lang w:val="ru-RU"/>
        </w:rPr>
        <w:t xml:space="preserve">  </w:t>
      </w:r>
    </w:p>
    <w:p w14:paraId="3F3AD381"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(наименование закупки) </w:t>
      </w:r>
    </w:p>
    <w:p w14:paraId="513CA9C6" w14:textId="77777777" w:rsidR="00A546A8" w:rsidRPr="00C04A7D" w:rsidRDefault="00A546A8" w:rsidP="00E006AB">
      <w:pPr>
        <w:spacing w:after="0"/>
        <w:jc w:val="both"/>
        <w:rPr>
          <w:rFonts w:ascii="Times New Roman" w:hAnsi="Times New Roman" w:cs="Times New Roman"/>
          <w:sz w:val="22"/>
          <w:szCs w:val="22"/>
          <w:lang w:val="ru-RU"/>
        </w:rPr>
      </w:pPr>
    </w:p>
    <w:p w14:paraId="1F4A00CD" w14:textId="431E695B"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2) </w:t>
      </w:r>
      <w:r w:rsidR="00ED221E" w:rsidRPr="00C04A7D">
        <w:rPr>
          <w:rFonts w:ascii="Times New Roman" w:hAnsi="Times New Roman" w:cs="Times New Roman"/>
          <w:sz w:val="22"/>
          <w:szCs w:val="22"/>
          <w:lang w:val="ru-RU"/>
        </w:rPr>
        <w:t>О</w:t>
      </w:r>
      <w:r w:rsidRPr="00C04A7D">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C04A7D" w:rsidRDefault="00A546A8" w:rsidP="00E006AB">
      <w:pPr>
        <w:spacing w:after="0"/>
        <w:jc w:val="both"/>
        <w:rPr>
          <w:rFonts w:ascii="Times New Roman" w:hAnsi="Times New Roman" w:cs="Times New Roman"/>
          <w:b/>
          <w:bCs/>
          <w:sz w:val="22"/>
          <w:szCs w:val="22"/>
          <w:lang w:val="ru-RU"/>
        </w:rPr>
      </w:pPr>
    </w:p>
    <w:p w14:paraId="6494A953"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Наименование поставщика </w:t>
      </w:r>
    </w:p>
    <w:p w14:paraId="3630CDCA"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_________________________________ ___________________ </w:t>
      </w:r>
    </w:p>
    <w:p w14:paraId="095382CC" w14:textId="77777777"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(ФИО, должность) (Подпись) </w:t>
      </w:r>
    </w:p>
    <w:p w14:paraId="63CD795D" w14:textId="2CB4584B" w:rsidR="00A546A8" w:rsidRPr="00C04A7D" w:rsidRDefault="00A546A8"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Печать</w:t>
      </w:r>
    </w:p>
    <w:p w14:paraId="3047C7C7" w14:textId="77777777" w:rsidR="00A546A8" w:rsidRPr="00C04A7D" w:rsidRDefault="00A546A8" w:rsidP="00E006AB">
      <w:pPr>
        <w:spacing w:after="0"/>
        <w:jc w:val="both"/>
        <w:rPr>
          <w:rFonts w:ascii="Times New Roman" w:hAnsi="Times New Roman" w:cs="Times New Roman"/>
          <w:sz w:val="22"/>
          <w:szCs w:val="22"/>
          <w:lang w:val="ru-RU"/>
        </w:rPr>
      </w:pPr>
    </w:p>
    <w:p w14:paraId="6CC2F10D" w14:textId="0DA6657B" w:rsidR="00A546A8" w:rsidRPr="00C04A7D" w:rsidRDefault="00A546A8" w:rsidP="00E006AB">
      <w:pPr>
        <w:spacing w:after="0"/>
        <w:rPr>
          <w:rFonts w:ascii="Times New Roman" w:hAnsi="Times New Roman" w:cs="Times New Roman"/>
          <w:sz w:val="22"/>
          <w:szCs w:val="22"/>
          <w:lang w:val="ru-RU"/>
        </w:rPr>
      </w:pPr>
      <w:r w:rsidRPr="00C04A7D">
        <w:rPr>
          <w:rFonts w:ascii="Times New Roman" w:hAnsi="Times New Roman" w:cs="Times New Roman"/>
          <w:sz w:val="22"/>
          <w:szCs w:val="22"/>
          <w:lang w:val="ru-RU"/>
        </w:rPr>
        <w:br w:type="page"/>
      </w:r>
    </w:p>
    <w:p w14:paraId="1B2CA354" w14:textId="4D0822FB" w:rsidR="00A546A8" w:rsidRPr="00C04A7D" w:rsidRDefault="00A546A8" w:rsidP="00E006AB">
      <w:pPr>
        <w:pStyle w:val="26"/>
        <w:keepNext/>
        <w:keepLines/>
        <w:shd w:val="clear" w:color="auto" w:fill="auto"/>
        <w:spacing w:after="0" w:line="220" w:lineRule="exact"/>
        <w:rPr>
          <w:sz w:val="22"/>
          <w:szCs w:val="22"/>
          <w:lang w:val="ru-RU"/>
        </w:rPr>
      </w:pPr>
      <w:r w:rsidRPr="00C04A7D">
        <w:rPr>
          <w:sz w:val="22"/>
          <w:szCs w:val="22"/>
          <w:lang w:val="ru-RU"/>
        </w:rPr>
        <w:lastRenderedPageBreak/>
        <w:t>Приложение №</w:t>
      </w:r>
      <w:r w:rsidR="00363020" w:rsidRPr="00C04A7D">
        <w:rPr>
          <w:sz w:val="22"/>
          <w:szCs w:val="22"/>
          <w:lang w:val="ru-RU"/>
        </w:rPr>
        <w:t>3</w:t>
      </w:r>
    </w:p>
    <w:p w14:paraId="1A829CCB" w14:textId="77777777" w:rsidR="00A546A8" w:rsidRPr="00C04A7D"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C04A7D" w:rsidRDefault="00A546A8" w:rsidP="00E006AB">
      <w:pPr>
        <w:pStyle w:val="26"/>
        <w:keepNext/>
        <w:keepLines/>
        <w:shd w:val="clear" w:color="auto" w:fill="auto"/>
        <w:spacing w:after="0" w:line="220" w:lineRule="exact"/>
        <w:jc w:val="both"/>
        <w:rPr>
          <w:sz w:val="22"/>
          <w:szCs w:val="22"/>
          <w:lang w:val="ru-RU"/>
        </w:rPr>
      </w:pPr>
      <w:r w:rsidRPr="00C04A7D">
        <w:rPr>
          <w:sz w:val="22"/>
          <w:szCs w:val="22"/>
          <w:lang w:val="ru-RU"/>
        </w:rPr>
        <w:t>ДЕКЛАРАЦИЯ ДОБРОСОВЕСТНОСТИ И АНТИКОРРУПЦИОННАЯ ОГОВОРКА</w:t>
      </w:r>
    </w:p>
    <w:p w14:paraId="0314CFBE" w14:textId="77777777" w:rsidR="00A546A8" w:rsidRPr="00C04A7D" w:rsidRDefault="00A546A8" w:rsidP="00E006AB">
      <w:pPr>
        <w:pStyle w:val="24"/>
        <w:shd w:val="clear" w:color="auto" w:fill="auto"/>
        <w:tabs>
          <w:tab w:val="left" w:leader="underscore" w:pos="1853"/>
        </w:tabs>
        <w:spacing w:after="0" w:line="220" w:lineRule="exact"/>
        <w:jc w:val="both"/>
        <w:rPr>
          <w:sz w:val="22"/>
          <w:szCs w:val="22"/>
          <w:lang w:val="ru-RU"/>
        </w:rPr>
      </w:pPr>
      <w:r w:rsidRPr="00C04A7D">
        <w:rPr>
          <w:sz w:val="22"/>
          <w:szCs w:val="22"/>
          <w:lang w:val="ru-RU"/>
        </w:rPr>
        <w:t>Кому:</w:t>
      </w:r>
      <w:r w:rsidRPr="00C04A7D">
        <w:rPr>
          <w:sz w:val="22"/>
          <w:szCs w:val="22"/>
          <w:lang w:val="ru-RU"/>
        </w:rPr>
        <w:tab/>
      </w:r>
    </w:p>
    <w:p w14:paraId="50726BC9" w14:textId="77777777" w:rsidR="00A546A8" w:rsidRPr="00C04A7D" w:rsidRDefault="00A546A8" w:rsidP="00E006AB">
      <w:pPr>
        <w:pStyle w:val="24"/>
        <w:shd w:val="clear" w:color="auto" w:fill="auto"/>
        <w:tabs>
          <w:tab w:val="left" w:leader="underscore" w:pos="1853"/>
        </w:tabs>
        <w:spacing w:after="0" w:line="437" w:lineRule="exact"/>
        <w:rPr>
          <w:sz w:val="22"/>
          <w:szCs w:val="22"/>
          <w:lang w:val="ru-RU"/>
        </w:rPr>
      </w:pPr>
      <w:r w:rsidRPr="00C04A7D">
        <w:rPr>
          <w:sz w:val="22"/>
          <w:szCs w:val="22"/>
          <w:lang w:val="ru-RU"/>
        </w:rPr>
        <w:t xml:space="preserve">Название закупки: </w:t>
      </w:r>
    </w:p>
    <w:p w14:paraId="509DEDF7" w14:textId="77777777" w:rsidR="00A546A8" w:rsidRPr="00C04A7D" w:rsidRDefault="00A546A8" w:rsidP="00E006AB">
      <w:pPr>
        <w:pStyle w:val="24"/>
        <w:shd w:val="clear" w:color="auto" w:fill="auto"/>
        <w:spacing w:after="0" w:line="274" w:lineRule="exact"/>
        <w:jc w:val="both"/>
        <w:rPr>
          <w:sz w:val="22"/>
          <w:szCs w:val="22"/>
          <w:lang w:val="ru-RU"/>
        </w:rPr>
      </w:pPr>
      <w:r w:rsidRPr="00C04A7D">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C04A7D" w:rsidRDefault="00A546A8" w:rsidP="00E006AB">
      <w:pPr>
        <w:pStyle w:val="24"/>
        <w:shd w:val="clear" w:color="auto" w:fill="auto"/>
        <w:spacing w:after="0" w:line="278" w:lineRule="exact"/>
        <w:jc w:val="both"/>
        <w:rPr>
          <w:sz w:val="22"/>
          <w:szCs w:val="22"/>
          <w:lang w:val="ru-RU"/>
        </w:rPr>
      </w:pPr>
      <w:r w:rsidRPr="00C04A7D">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C04A7D" w:rsidRDefault="00A546A8" w:rsidP="00E006AB">
      <w:pPr>
        <w:pStyle w:val="24"/>
        <w:shd w:val="clear" w:color="auto" w:fill="auto"/>
        <w:spacing w:after="0" w:line="278" w:lineRule="exact"/>
        <w:jc w:val="both"/>
        <w:rPr>
          <w:sz w:val="22"/>
          <w:szCs w:val="22"/>
          <w:lang w:val="ru-RU"/>
        </w:rPr>
      </w:pPr>
      <w:r w:rsidRPr="00C04A7D">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C04A7D" w:rsidRDefault="00A546A8" w:rsidP="00E006AB">
      <w:pPr>
        <w:pStyle w:val="24"/>
        <w:shd w:val="clear" w:color="auto" w:fill="auto"/>
        <w:spacing w:after="0" w:line="274" w:lineRule="exact"/>
        <w:jc w:val="both"/>
        <w:rPr>
          <w:sz w:val="22"/>
          <w:szCs w:val="22"/>
          <w:lang w:val="ru-RU"/>
        </w:rPr>
      </w:pPr>
      <w:r w:rsidRPr="00C04A7D">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C04A7D" w:rsidRDefault="00A546A8" w:rsidP="00E006AB">
      <w:pPr>
        <w:pStyle w:val="24"/>
        <w:shd w:val="clear" w:color="auto" w:fill="auto"/>
        <w:spacing w:after="0" w:line="274" w:lineRule="exact"/>
        <w:jc w:val="both"/>
        <w:rPr>
          <w:sz w:val="22"/>
          <w:szCs w:val="22"/>
          <w:lang w:val="ru-RU"/>
        </w:rPr>
      </w:pPr>
      <w:r w:rsidRPr="00C04A7D">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C04A7D" w:rsidRDefault="00A546A8" w:rsidP="00E006AB">
      <w:pPr>
        <w:pStyle w:val="24"/>
        <w:shd w:val="clear" w:color="auto" w:fill="auto"/>
        <w:spacing w:after="0" w:line="278" w:lineRule="exact"/>
        <w:jc w:val="both"/>
        <w:rPr>
          <w:sz w:val="22"/>
          <w:szCs w:val="22"/>
          <w:lang w:val="ru-RU"/>
        </w:rPr>
      </w:pPr>
      <w:r w:rsidRPr="00C04A7D">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C04A7D" w:rsidRDefault="00A546A8" w:rsidP="00E006AB">
      <w:pPr>
        <w:pStyle w:val="24"/>
        <w:shd w:val="clear" w:color="auto" w:fill="auto"/>
        <w:spacing w:after="0" w:line="274" w:lineRule="exact"/>
        <w:jc w:val="both"/>
        <w:rPr>
          <w:sz w:val="22"/>
          <w:szCs w:val="22"/>
          <w:lang w:val="ru-RU"/>
        </w:rPr>
      </w:pPr>
      <w:r w:rsidRPr="00C04A7D">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C04A7D" w:rsidRDefault="00A546A8" w:rsidP="00E006AB">
      <w:pPr>
        <w:pStyle w:val="24"/>
        <w:shd w:val="clear" w:color="auto" w:fill="auto"/>
        <w:spacing w:after="0" w:line="274" w:lineRule="exact"/>
        <w:jc w:val="both"/>
        <w:rPr>
          <w:sz w:val="22"/>
          <w:szCs w:val="22"/>
          <w:lang w:val="ru-RU"/>
        </w:rPr>
      </w:pPr>
      <w:r w:rsidRPr="00C04A7D">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C04A7D" w:rsidRDefault="00A546A8" w:rsidP="00E006AB">
      <w:pPr>
        <w:pStyle w:val="24"/>
        <w:shd w:val="clear" w:color="auto" w:fill="auto"/>
        <w:spacing w:after="0" w:line="274" w:lineRule="exact"/>
        <w:jc w:val="both"/>
        <w:rPr>
          <w:sz w:val="22"/>
          <w:szCs w:val="22"/>
          <w:lang w:val="ru-RU"/>
        </w:rPr>
      </w:pPr>
      <w:r w:rsidRPr="00C04A7D">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C04A7D" w:rsidRDefault="00A546A8" w:rsidP="00E006AB">
      <w:pPr>
        <w:pStyle w:val="24"/>
        <w:shd w:val="clear" w:color="auto" w:fill="auto"/>
        <w:spacing w:after="0" w:line="317" w:lineRule="exact"/>
        <w:jc w:val="both"/>
        <w:rPr>
          <w:sz w:val="22"/>
          <w:szCs w:val="22"/>
          <w:lang w:val="ru-RU"/>
        </w:rPr>
      </w:pPr>
      <w:r w:rsidRPr="00C04A7D">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C04A7D" w:rsidRDefault="00A546A8" w:rsidP="00E006AB">
      <w:pPr>
        <w:pStyle w:val="120"/>
        <w:shd w:val="clear" w:color="auto" w:fill="auto"/>
        <w:spacing w:before="0" w:line="220" w:lineRule="exact"/>
        <w:rPr>
          <w:sz w:val="22"/>
          <w:szCs w:val="22"/>
          <w:lang w:val="ru-RU"/>
        </w:rPr>
      </w:pPr>
    </w:p>
    <w:p w14:paraId="3FC58BC8" w14:textId="77777777" w:rsidR="00A546A8" w:rsidRPr="00C04A7D" w:rsidRDefault="00A546A8" w:rsidP="00E006AB">
      <w:pPr>
        <w:pStyle w:val="120"/>
        <w:shd w:val="clear" w:color="auto" w:fill="auto"/>
        <w:spacing w:before="0" w:line="220" w:lineRule="exact"/>
        <w:rPr>
          <w:sz w:val="22"/>
          <w:szCs w:val="22"/>
          <w:lang w:val="ru-RU"/>
        </w:rPr>
      </w:pPr>
      <w:r w:rsidRPr="00C04A7D">
        <w:rPr>
          <w:sz w:val="22"/>
          <w:szCs w:val="22"/>
          <w:lang w:val="ru-RU"/>
        </w:rPr>
        <w:t xml:space="preserve">Поставщик </w:t>
      </w:r>
    </w:p>
    <w:p w14:paraId="1890559E" w14:textId="77777777" w:rsidR="00A546A8" w:rsidRPr="00C04A7D" w:rsidRDefault="00A546A8" w:rsidP="00E006AB">
      <w:pPr>
        <w:pStyle w:val="120"/>
        <w:shd w:val="clear" w:color="auto" w:fill="auto"/>
        <w:spacing w:before="0" w:line="220" w:lineRule="exact"/>
        <w:rPr>
          <w:sz w:val="22"/>
          <w:szCs w:val="22"/>
          <w:lang w:val="ru-RU"/>
        </w:rPr>
      </w:pPr>
    </w:p>
    <w:p w14:paraId="74315FB1" w14:textId="77777777" w:rsidR="00A546A8" w:rsidRPr="00C04A7D" w:rsidRDefault="00A546A8" w:rsidP="00E006AB">
      <w:pPr>
        <w:pStyle w:val="120"/>
        <w:shd w:val="clear" w:color="auto" w:fill="auto"/>
        <w:spacing w:before="0" w:line="220" w:lineRule="exact"/>
        <w:rPr>
          <w:sz w:val="22"/>
          <w:szCs w:val="22"/>
          <w:lang w:val="ru-RU"/>
        </w:rPr>
      </w:pPr>
      <w:r w:rsidRPr="00C04A7D">
        <w:rPr>
          <w:sz w:val="22"/>
          <w:szCs w:val="22"/>
          <w:lang w:val="ru-RU"/>
        </w:rPr>
        <w:t>Ф.И.О, должность                                                                                  ________________________/МП</w:t>
      </w:r>
    </w:p>
    <w:p w14:paraId="25310C94" w14:textId="30BD830F" w:rsidR="00A546A8" w:rsidRPr="00C04A7D" w:rsidRDefault="00A546A8" w:rsidP="00E006AB">
      <w:pPr>
        <w:spacing w:after="0"/>
        <w:rPr>
          <w:rFonts w:ascii="Times New Roman" w:eastAsia="Times New Roman" w:hAnsi="Times New Roman" w:cs="Times New Roman"/>
          <w:i/>
          <w:iCs/>
          <w:sz w:val="22"/>
          <w:szCs w:val="22"/>
          <w:lang w:val="ru-RU"/>
        </w:rPr>
      </w:pPr>
      <w:r w:rsidRPr="00C04A7D">
        <w:rPr>
          <w:rFonts w:ascii="Times New Roman" w:hAnsi="Times New Roman" w:cs="Times New Roman"/>
          <w:sz w:val="22"/>
          <w:szCs w:val="22"/>
          <w:lang w:val="ru-RU"/>
        </w:rPr>
        <w:br w:type="page"/>
      </w:r>
    </w:p>
    <w:p w14:paraId="5B81B5ED" w14:textId="57864273" w:rsidR="00363020" w:rsidRPr="00C04A7D" w:rsidRDefault="00363020" w:rsidP="00E006AB">
      <w:pPr>
        <w:spacing w:after="0"/>
        <w:jc w:val="right"/>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lastRenderedPageBreak/>
        <w:t>Приложение №4</w:t>
      </w:r>
    </w:p>
    <w:p w14:paraId="48B7457F" w14:textId="77777777" w:rsidR="00363020" w:rsidRPr="00C04A7D"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C04A7D">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C04A7D"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C04A7D"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C04A7D"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eastAsia="Times New Roman" w:hAnsi="Times New Roman" w:cs="Times New Roman"/>
          <w:b/>
          <w:bCs/>
          <w:caps/>
          <w:sz w:val="22"/>
          <w:szCs w:val="22"/>
          <w:lang w:val="ru-RU" w:eastAsia="ru-RU"/>
        </w:rPr>
        <w:t xml:space="preserve">Кому: </w:t>
      </w:r>
      <w:r w:rsidRPr="00C04A7D">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C04A7D">
        <w:rPr>
          <w:rFonts w:ascii="Times New Roman" w:hAnsi="Times New Roman" w:cs="Times New Roman"/>
          <w:sz w:val="22"/>
          <w:szCs w:val="22"/>
          <w:lang w:val="ru-RU"/>
        </w:rPr>
        <w:t xml:space="preserve"> </w:t>
      </w:r>
      <w:r w:rsidRPr="00C04A7D">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C04A7D" w:rsidRDefault="00363020" w:rsidP="00E006AB">
      <w:pPr>
        <w:spacing w:after="0" w:line="276"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C04A7D"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C04A7D" w:rsidRDefault="00363020" w:rsidP="00E006AB">
      <w:pPr>
        <w:spacing w:after="0"/>
        <w:jc w:val="right"/>
        <w:rPr>
          <w:rFonts w:ascii="Times New Roman" w:hAnsi="Times New Roman" w:cs="Times New Roman"/>
          <w:b/>
          <w:bCs/>
          <w:sz w:val="22"/>
          <w:szCs w:val="22"/>
          <w:lang w:val="ru-RU"/>
        </w:rPr>
      </w:pPr>
    </w:p>
    <w:p w14:paraId="522054E9" w14:textId="7D9F7949" w:rsidR="00363020" w:rsidRPr="00C04A7D" w:rsidRDefault="00363020" w:rsidP="00E006AB">
      <w:pPr>
        <w:spacing w:after="0"/>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br w:type="page"/>
      </w:r>
    </w:p>
    <w:p w14:paraId="69FCE68B" w14:textId="77777777" w:rsidR="00363020" w:rsidRPr="00C04A7D" w:rsidRDefault="00363020" w:rsidP="00E006AB">
      <w:pPr>
        <w:spacing w:after="0"/>
        <w:jc w:val="right"/>
        <w:rPr>
          <w:rFonts w:ascii="Times New Roman" w:hAnsi="Times New Roman" w:cs="Times New Roman"/>
          <w:b/>
          <w:bCs/>
          <w:sz w:val="22"/>
          <w:szCs w:val="22"/>
          <w:lang w:val="ru-RU"/>
        </w:rPr>
      </w:pPr>
    </w:p>
    <w:p w14:paraId="4465E468" w14:textId="672E6B10" w:rsidR="00FA61C9" w:rsidRPr="00C04A7D" w:rsidRDefault="00FA61C9" w:rsidP="00E006AB">
      <w:pPr>
        <w:spacing w:after="0"/>
        <w:jc w:val="right"/>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Приложение №</w:t>
      </w:r>
      <w:r w:rsidR="00363020" w:rsidRPr="00C04A7D">
        <w:rPr>
          <w:rFonts w:ascii="Times New Roman" w:hAnsi="Times New Roman" w:cs="Times New Roman"/>
          <w:b/>
          <w:bCs/>
          <w:sz w:val="22"/>
          <w:szCs w:val="22"/>
          <w:lang w:val="ru-RU"/>
        </w:rPr>
        <w:t>5</w:t>
      </w:r>
    </w:p>
    <w:p w14:paraId="37FBE8C7" w14:textId="646D8515" w:rsidR="00FA61C9" w:rsidRPr="00C04A7D" w:rsidRDefault="00FA61C9" w:rsidP="00E006AB">
      <w:pPr>
        <w:spacing w:after="0"/>
        <w:jc w:val="center"/>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СВЕДЕНИЯ О КВАЛИФИКАЦИИ</w:t>
      </w:r>
    </w:p>
    <w:p w14:paraId="54376486"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C04A7D" w:rsidRDefault="00FA61C9" w:rsidP="00E006AB">
      <w:pPr>
        <w:spacing w:after="0"/>
        <w:jc w:val="both"/>
        <w:rPr>
          <w:rFonts w:ascii="Times New Roman" w:hAnsi="Times New Roman" w:cs="Times New Roman"/>
          <w:sz w:val="22"/>
          <w:szCs w:val="22"/>
          <w:lang w:val="ru-RU"/>
        </w:rPr>
      </w:pPr>
    </w:p>
    <w:p w14:paraId="5C1F8BAA" w14:textId="1ABAC32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C04A7D"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1E70DD"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Сведения о результатах, отзывы (при наличии)</w:t>
            </w:r>
          </w:p>
        </w:tc>
      </w:tr>
      <w:tr w:rsidR="00181147" w:rsidRPr="001E70DD"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C04A7D"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C04A7D"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C04A7D"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C04A7D"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C04A7D"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C04A7D" w:rsidRDefault="00FA61C9" w:rsidP="00E006AB">
            <w:pPr>
              <w:spacing w:after="0"/>
              <w:jc w:val="both"/>
              <w:rPr>
                <w:rFonts w:ascii="Times New Roman" w:hAnsi="Times New Roman" w:cs="Times New Roman"/>
                <w:sz w:val="22"/>
                <w:szCs w:val="22"/>
                <w:lang w:val="ru-RU"/>
              </w:rPr>
            </w:pPr>
          </w:p>
        </w:tc>
      </w:tr>
    </w:tbl>
    <w:p w14:paraId="0785193E"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C04A7D"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Наличие дипломов и сертификатов</w:t>
            </w:r>
          </w:p>
        </w:tc>
      </w:tr>
      <w:tr w:rsidR="00181147" w:rsidRPr="00C04A7D"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C04A7D"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C04A7D"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C04A7D"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C04A7D"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C04A7D"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C04A7D" w:rsidRDefault="00FA61C9" w:rsidP="00E006AB">
            <w:pPr>
              <w:spacing w:after="0"/>
              <w:jc w:val="both"/>
              <w:rPr>
                <w:rFonts w:ascii="Times New Roman" w:hAnsi="Times New Roman" w:cs="Times New Roman"/>
                <w:sz w:val="22"/>
                <w:szCs w:val="22"/>
              </w:rPr>
            </w:pPr>
          </w:p>
        </w:tc>
      </w:tr>
    </w:tbl>
    <w:p w14:paraId="107DFAC3" w14:textId="77777777" w:rsidR="00FA61C9" w:rsidRPr="00C04A7D" w:rsidRDefault="00FA61C9" w:rsidP="00E006AB">
      <w:pPr>
        <w:spacing w:after="0"/>
        <w:jc w:val="both"/>
        <w:rPr>
          <w:rFonts w:ascii="Times New Roman" w:hAnsi="Times New Roman" w:cs="Times New Roman"/>
          <w:sz w:val="22"/>
          <w:szCs w:val="22"/>
        </w:rPr>
      </w:pPr>
    </w:p>
    <w:p w14:paraId="4C09D28C"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1E70DD"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C04A7D" w:rsidRDefault="00FA61C9" w:rsidP="00E006AB">
            <w:pPr>
              <w:spacing w:after="0"/>
              <w:jc w:val="both"/>
              <w:rPr>
                <w:rFonts w:ascii="Times New Roman" w:hAnsi="Times New Roman" w:cs="Times New Roman"/>
                <w:sz w:val="22"/>
                <w:szCs w:val="22"/>
              </w:rPr>
            </w:pPr>
            <w:r w:rsidRPr="00C04A7D">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год выпуска и другие признаки параметры</w:t>
            </w:r>
          </w:p>
        </w:tc>
      </w:tr>
      <w:tr w:rsidR="00181147" w:rsidRPr="001E70DD"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C04A7D"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C04A7D"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C04A7D"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C04A7D"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C04A7D"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C04A7D" w:rsidRDefault="00FA61C9" w:rsidP="00E006AB">
            <w:pPr>
              <w:spacing w:after="0"/>
              <w:jc w:val="both"/>
              <w:rPr>
                <w:rFonts w:ascii="Times New Roman" w:hAnsi="Times New Roman" w:cs="Times New Roman"/>
                <w:sz w:val="22"/>
                <w:szCs w:val="22"/>
                <w:lang w:val="ru-RU"/>
              </w:rPr>
            </w:pPr>
          </w:p>
        </w:tc>
      </w:tr>
    </w:tbl>
    <w:p w14:paraId="513CD3BB"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C04A7D" w:rsidRDefault="00FA61C9" w:rsidP="00E006AB">
      <w:pPr>
        <w:spacing w:after="0"/>
        <w:jc w:val="both"/>
        <w:rPr>
          <w:rFonts w:ascii="Times New Roman" w:hAnsi="Times New Roman" w:cs="Times New Roman"/>
          <w:sz w:val="22"/>
          <w:szCs w:val="22"/>
          <w:lang w:val="ru-RU"/>
        </w:rPr>
      </w:pPr>
    </w:p>
    <w:p w14:paraId="5F8DD910" w14:textId="77777777" w:rsidR="00FA61C9" w:rsidRPr="00C04A7D" w:rsidRDefault="00FA61C9" w:rsidP="00E006AB">
      <w:pPr>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C04A7D" w:rsidRDefault="00FA61C9" w:rsidP="00E006AB">
      <w:pPr>
        <w:spacing w:after="0"/>
        <w:rPr>
          <w:rFonts w:ascii="Times New Roman" w:hAnsi="Times New Roman" w:cs="Times New Roman"/>
          <w:sz w:val="22"/>
          <w:szCs w:val="22"/>
          <w:lang w:val="ru-RU"/>
        </w:rPr>
      </w:pPr>
    </w:p>
    <w:p w14:paraId="58C6159E" w14:textId="77777777" w:rsidR="00A546A8" w:rsidRPr="00C04A7D" w:rsidRDefault="00A546A8" w:rsidP="00E006AB">
      <w:pPr>
        <w:pStyle w:val="120"/>
        <w:shd w:val="clear" w:color="auto" w:fill="auto"/>
        <w:spacing w:before="0" w:line="220" w:lineRule="exact"/>
        <w:rPr>
          <w:sz w:val="22"/>
          <w:szCs w:val="22"/>
          <w:lang w:val="ru-RU"/>
        </w:rPr>
      </w:pPr>
    </w:p>
    <w:p w14:paraId="65BC463B" w14:textId="75470F3C" w:rsidR="00FA61C9" w:rsidRPr="00C04A7D" w:rsidRDefault="00FA61C9" w:rsidP="00E006AB">
      <w:pPr>
        <w:spacing w:after="0"/>
        <w:rPr>
          <w:rFonts w:ascii="Times New Roman" w:hAnsi="Times New Roman" w:cs="Times New Roman"/>
          <w:sz w:val="22"/>
          <w:szCs w:val="22"/>
          <w:lang w:val="ru-RU"/>
        </w:rPr>
      </w:pPr>
      <w:r w:rsidRPr="00C04A7D">
        <w:rPr>
          <w:rFonts w:ascii="Times New Roman" w:hAnsi="Times New Roman" w:cs="Times New Roman"/>
          <w:sz w:val="22"/>
          <w:szCs w:val="22"/>
          <w:lang w:val="ru-RU"/>
        </w:rPr>
        <w:br w:type="page"/>
      </w:r>
    </w:p>
    <w:p w14:paraId="37368075" w14:textId="53AB199C" w:rsidR="001E04FB" w:rsidRPr="00C04A7D" w:rsidRDefault="001E04FB" w:rsidP="00E006AB">
      <w:pPr>
        <w:spacing w:after="0"/>
        <w:jc w:val="right"/>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lastRenderedPageBreak/>
        <w:t>Приложение №</w:t>
      </w:r>
      <w:r w:rsidR="00363020" w:rsidRPr="00C04A7D">
        <w:rPr>
          <w:rFonts w:ascii="Times New Roman" w:hAnsi="Times New Roman" w:cs="Times New Roman"/>
          <w:b/>
          <w:bCs/>
          <w:sz w:val="22"/>
          <w:szCs w:val="22"/>
          <w:lang w:val="ru-RU"/>
        </w:rPr>
        <w:t>6</w:t>
      </w:r>
    </w:p>
    <w:p w14:paraId="2B3125AE" w14:textId="77777777" w:rsidR="001E04FB" w:rsidRPr="00C04A7D" w:rsidRDefault="001E04FB" w:rsidP="00E006AB">
      <w:pPr>
        <w:spacing w:after="0"/>
        <w:jc w:val="right"/>
        <w:rPr>
          <w:rFonts w:ascii="Times New Roman" w:hAnsi="Times New Roman" w:cs="Times New Roman"/>
          <w:b/>
          <w:bCs/>
          <w:sz w:val="22"/>
          <w:szCs w:val="22"/>
          <w:lang w:val="ru-RU"/>
        </w:rPr>
      </w:pPr>
    </w:p>
    <w:p w14:paraId="2E6A390E" w14:textId="77777777" w:rsidR="001E04FB" w:rsidRPr="00C04A7D" w:rsidRDefault="001E04FB" w:rsidP="00E006AB">
      <w:pPr>
        <w:tabs>
          <w:tab w:val="left" w:pos="450"/>
        </w:tabs>
        <w:spacing w:after="0"/>
        <w:contextualSpacing/>
        <w:jc w:val="center"/>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ДОГОВОР ОКАЗАНИЯ УСЛУГ № </w:t>
      </w:r>
      <w:r w:rsidRPr="00C04A7D">
        <w:rPr>
          <w:rFonts w:ascii="Times New Roman" w:hAnsi="Times New Roman" w:cs="Times New Roman"/>
          <w:b/>
          <w:bCs/>
          <w:sz w:val="22"/>
          <w:szCs w:val="22"/>
        </w:rPr>
        <w:t>KGC</w:t>
      </w:r>
      <w:r w:rsidRPr="00C04A7D">
        <w:rPr>
          <w:rFonts w:ascii="Times New Roman" w:hAnsi="Times New Roman" w:cs="Times New Roman"/>
          <w:b/>
          <w:bCs/>
          <w:sz w:val="22"/>
          <w:szCs w:val="22"/>
          <w:lang w:val="ru-RU"/>
        </w:rPr>
        <w:t>-</w:t>
      </w:r>
      <w:r w:rsidRPr="00C04A7D">
        <w:rPr>
          <w:rFonts w:ascii="Times New Roman" w:hAnsi="Times New Roman" w:cs="Times New Roman"/>
          <w:b/>
          <w:bCs/>
          <w:sz w:val="22"/>
          <w:szCs w:val="22"/>
        </w:rPr>
        <w:t>P</w:t>
      </w:r>
      <w:r w:rsidRPr="00C04A7D">
        <w:rPr>
          <w:rFonts w:ascii="Times New Roman" w:hAnsi="Times New Roman" w:cs="Times New Roman"/>
          <w:b/>
          <w:bCs/>
          <w:sz w:val="22"/>
          <w:szCs w:val="22"/>
          <w:lang w:val="ru-RU"/>
        </w:rPr>
        <w:t>/</w:t>
      </w:r>
      <w:r w:rsidRPr="00C04A7D">
        <w:rPr>
          <w:rFonts w:ascii="Times New Roman" w:hAnsi="Times New Roman" w:cs="Times New Roman"/>
          <w:b/>
          <w:bCs/>
          <w:sz w:val="22"/>
          <w:szCs w:val="22"/>
        </w:rPr>
        <w:t>V</w:t>
      </w:r>
      <w:r w:rsidRPr="00C04A7D">
        <w:rPr>
          <w:rFonts w:ascii="Times New Roman" w:hAnsi="Times New Roman" w:cs="Times New Roman"/>
          <w:b/>
          <w:bCs/>
          <w:sz w:val="22"/>
          <w:szCs w:val="22"/>
          <w:lang w:val="ru-RU"/>
        </w:rPr>
        <w:t>-</w:t>
      </w:r>
    </w:p>
    <w:p w14:paraId="3C1BABBF" w14:textId="77777777" w:rsidR="001E04FB" w:rsidRPr="00C04A7D"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C04A7D" w:rsidRDefault="001E04FB" w:rsidP="00E006AB">
      <w:pPr>
        <w:tabs>
          <w:tab w:val="left" w:pos="450"/>
        </w:tabs>
        <w:spacing w:after="0"/>
        <w:contextualSpacing/>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 г. Бишкек                                                                                «____» _____________ 202</w:t>
      </w:r>
      <w:r w:rsidR="00DA2680" w:rsidRPr="00C04A7D">
        <w:rPr>
          <w:rFonts w:ascii="Times New Roman" w:hAnsi="Times New Roman" w:cs="Times New Roman"/>
          <w:b/>
          <w:bCs/>
          <w:sz w:val="22"/>
          <w:szCs w:val="22"/>
          <w:lang w:val="ru-RU"/>
        </w:rPr>
        <w:t>6</w:t>
      </w:r>
      <w:r w:rsidRPr="00C04A7D">
        <w:rPr>
          <w:rFonts w:ascii="Times New Roman" w:hAnsi="Times New Roman" w:cs="Times New Roman"/>
          <w:b/>
          <w:bCs/>
          <w:sz w:val="22"/>
          <w:szCs w:val="22"/>
          <w:lang w:val="ru-RU"/>
        </w:rPr>
        <w:t xml:space="preserve"> года</w:t>
      </w:r>
    </w:p>
    <w:p w14:paraId="555F7761" w14:textId="77777777" w:rsidR="001E04FB" w:rsidRPr="00C04A7D"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C04A7D" w:rsidRDefault="001E04FB" w:rsidP="00E006AB">
      <w:pPr>
        <w:tabs>
          <w:tab w:val="left" w:pos="450"/>
        </w:tabs>
        <w:spacing w:after="0"/>
        <w:contextualSpacing/>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ЗАО «Кумтор Голд Компани»</w:t>
      </w:r>
      <w:r w:rsidRPr="00C04A7D">
        <w:rPr>
          <w:rFonts w:ascii="Times New Roman" w:hAnsi="Times New Roman" w:cs="Times New Roman"/>
          <w:sz w:val="22"/>
          <w:szCs w:val="22"/>
          <w:lang w:val="ru-RU"/>
        </w:rPr>
        <w:t>, именуемое в дальнейшем «</w:t>
      </w:r>
      <w:r w:rsidRPr="00C04A7D">
        <w:rPr>
          <w:rFonts w:ascii="Times New Roman" w:hAnsi="Times New Roman" w:cs="Times New Roman"/>
          <w:b/>
          <w:sz w:val="22"/>
          <w:szCs w:val="22"/>
          <w:lang w:val="ru-RU"/>
        </w:rPr>
        <w:t>Заказчик</w:t>
      </w:r>
      <w:r w:rsidRPr="00C04A7D">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C04A7D" w:rsidRDefault="001E04FB" w:rsidP="00E006AB">
      <w:pPr>
        <w:tabs>
          <w:tab w:val="left" w:pos="450"/>
        </w:tabs>
        <w:spacing w:after="0"/>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C04A7D">
        <w:rPr>
          <w:rFonts w:ascii="Times New Roman" w:hAnsi="Times New Roman" w:cs="Times New Roman"/>
          <w:b/>
          <w:sz w:val="22"/>
          <w:szCs w:val="22"/>
          <w:lang w:val="ru-RU"/>
        </w:rPr>
        <w:t>Стороны</w:t>
      </w:r>
      <w:r w:rsidRPr="00C04A7D">
        <w:rPr>
          <w:rFonts w:ascii="Times New Roman" w:hAnsi="Times New Roman" w:cs="Times New Roman"/>
          <w:sz w:val="22"/>
          <w:szCs w:val="22"/>
          <w:lang w:val="ru-RU"/>
        </w:rPr>
        <w:t>», каждая в отдельности – «</w:t>
      </w:r>
      <w:r w:rsidRPr="00C04A7D">
        <w:rPr>
          <w:rFonts w:ascii="Times New Roman" w:hAnsi="Times New Roman" w:cs="Times New Roman"/>
          <w:b/>
          <w:sz w:val="22"/>
          <w:szCs w:val="22"/>
          <w:lang w:val="ru-RU"/>
        </w:rPr>
        <w:t>Сторона</w:t>
      </w:r>
      <w:r w:rsidRPr="00C04A7D">
        <w:rPr>
          <w:rFonts w:ascii="Times New Roman" w:hAnsi="Times New Roman" w:cs="Times New Roman"/>
          <w:sz w:val="22"/>
          <w:szCs w:val="22"/>
          <w:lang w:val="ru-RU"/>
        </w:rPr>
        <w:t>», заключили договор оказания услуг (далее – «</w:t>
      </w:r>
      <w:r w:rsidRPr="00C04A7D">
        <w:rPr>
          <w:rFonts w:ascii="Times New Roman" w:hAnsi="Times New Roman" w:cs="Times New Roman"/>
          <w:b/>
          <w:sz w:val="22"/>
          <w:szCs w:val="22"/>
          <w:lang w:val="ru-RU"/>
        </w:rPr>
        <w:t>Договор</w:t>
      </w:r>
      <w:r w:rsidRPr="00C04A7D">
        <w:rPr>
          <w:rFonts w:ascii="Times New Roman" w:hAnsi="Times New Roman" w:cs="Times New Roman"/>
          <w:sz w:val="22"/>
          <w:szCs w:val="22"/>
          <w:lang w:val="ru-RU"/>
        </w:rPr>
        <w:t>»), о нижеследующем:</w:t>
      </w:r>
    </w:p>
    <w:p w14:paraId="0EBDCBA6" w14:textId="77777777" w:rsidR="001E04FB" w:rsidRPr="00C04A7D"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а) настоящего основного договора (далее – «</w:t>
      </w:r>
      <w:r w:rsidRPr="00C04A7D">
        <w:rPr>
          <w:rFonts w:ascii="Times New Roman" w:hAnsi="Times New Roman" w:cs="Times New Roman"/>
          <w:b/>
          <w:sz w:val="22"/>
          <w:szCs w:val="22"/>
          <w:lang w:val="ru-RU"/>
        </w:rPr>
        <w:t>Основной договор</w:t>
      </w:r>
      <w:r w:rsidRPr="00C04A7D">
        <w:rPr>
          <w:rFonts w:ascii="Times New Roman" w:hAnsi="Times New Roman" w:cs="Times New Roman"/>
          <w:sz w:val="22"/>
          <w:szCs w:val="22"/>
          <w:lang w:val="ru-RU"/>
        </w:rPr>
        <w:t>»);</w:t>
      </w:r>
    </w:p>
    <w:p w14:paraId="0006202B" w14:textId="77777777" w:rsidR="001E04FB" w:rsidRPr="00C04A7D"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C04A7D">
        <w:rPr>
          <w:rFonts w:ascii="Times New Roman" w:hAnsi="Times New Roman" w:cs="Times New Roman"/>
          <w:sz w:val="22"/>
          <w:szCs w:val="22"/>
          <w:lang w:val="ru-RU"/>
        </w:rPr>
        <w:t xml:space="preserve">б) </w:t>
      </w:r>
      <w:r w:rsidRPr="00C04A7D">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C04A7D">
          <w:rPr>
            <w:rStyle w:val="ad"/>
            <w:rFonts w:ascii="Times New Roman" w:hAnsi="Times New Roman" w:cs="Times New Roman"/>
            <w:color w:val="auto"/>
            <w:sz w:val="22"/>
            <w:szCs w:val="22"/>
            <w:lang w:val="ru-RU"/>
          </w:rPr>
          <w:t>Общие условия</w:t>
        </w:r>
      </w:hyperlink>
      <w:r w:rsidRPr="00C04A7D">
        <w:rPr>
          <w:rFonts w:ascii="Times New Roman" w:hAnsi="Times New Roman" w:cs="Times New Roman"/>
          <w:sz w:val="22"/>
          <w:szCs w:val="22"/>
          <w:lang w:val="ru-RU"/>
        </w:rPr>
        <w:t xml:space="preserve"> и </w:t>
      </w:r>
      <w:hyperlink r:id="rId9" w:history="1">
        <w:r w:rsidRPr="00C04A7D">
          <w:rPr>
            <w:rStyle w:val="ad"/>
            <w:rFonts w:ascii="Times New Roman" w:hAnsi="Times New Roman" w:cs="Times New Roman"/>
            <w:color w:val="auto"/>
            <w:sz w:val="22"/>
            <w:szCs w:val="22"/>
            <w:lang w:val="ru-RU"/>
          </w:rPr>
          <w:t>https://www.kumtor.kg/wp-content/uploads/2020/11/general-terms_service_2020_nov.pdf</w:t>
        </w:r>
      </w:hyperlink>
      <w:r w:rsidRPr="00C04A7D">
        <w:rPr>
          <w:rFonts w:ascii="Times New Roman" w:hAnsi="Times New Roman" w:cs="Times New Roman"/>
          <w:sz w:val="22"/>
          <w:szCs w:val="22"/>
          <w:lang w:val="ru-RU"/>
        </w:rPr>
        <w:t xml:space="preserve">  </w:t>
      </w:r>
      <w:r w:rsidRPr="00C04A7D">
        <w:rPr>
          <w:rFonts w:ascii="Times New Roman" w:eastAsia="Times New Roman" w:hAnsi="Times New Roman" w:cs="Times New Roman"/>
          <w:sz w:val="22"/>
          <w:szCs w:val="22"/>
          <w:lang w:val="ru-RU"/>
        </w:rPr>
        <w:t>(далее – «</w:t>
      </w:r>
      <w:r w:rsidRPr="00C04A7D">
        <w:rPr>
          <w:rFonts w:ascii="Times New Roman" w:eastAsia="Times New Roman" w:hAnsi="Times New Roman" w:cs="Times New Roman"/>
          <w:b/>
          <w:bCs/>
          <w:sz w:val="22"/>
          <w:szCs w:val="22"/>
          <w:lang w:val="ru-RU"/>
        </w:rPr>
        <w:t>Общие условия</w:t>
      </w:r>
      <w:r w:rsidRPr="00C04A7D">
        <w:rPr>
          <w:rFonts w:ascii="Times New Roman" w:eastAsia="Times New Roman" w:hAnsi="Times New Roman" w:cs="Times New Roman"/>
          <w:sz w:val="22"/>
          <w:szCs w:val="22"/>
          <w:lang w:val="ru-RU"/>
        </w:rPr>
        <w:t>»);</w:t>
      </w:r>
      <w:r w:rsidRPr="00C04A7D">
        <w:rPr>
          <w:rFonts w:ascii="Times New Roman" w:hAnsi="Times New Roman" w:cs="Times New Roman"/>
          <w:sz w:val="22"/>
          <w:szCs w:val="22"/>
          <w:lang w:val="ru-RU"/>
        </w:rPr>
        <w:t xml:space="preserve"> </w:t>
      </w:r>
      <w:r w:rsidRPr="00C04A7D">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C04A7D"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C04A7D">
        <w:rPr>
          <w:rFonts w:ascii="Times New Roman" w:eastAsia="Calibri" w:hAnsi="Times New Roman" w:cs="Times New Roman"/>
          <w:sz w:val="22"/>
          <w:szCs w:val="22"/>
          <w:lang w:val="ru-RU"/>
        </w:rPr>
        <w:t>в) технического задания;</w:t>
      </w:r>
    </w:p>
    <w:p w14:paraId="3353DD5C" w14:textId="77777777" w:rsidR="001E04FB" w:rsidRPr="00C04A7D"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C04A7D">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C04A7D">
        <w:rPr>
          <w:rFonts w:ascii="Times New Roman" w:hAnsi="Times New Roman" w:cs="Times New Roman"/>
          <w:b/>
          <w:bCs/>
          <w:sz w:val="22"/>
          <w:szCs w:val="22"/>
          <w:lang w:val="ru-RU"/>
        </w:rPr>
        <w:t xml:space="preserve"> ________________</w:t>
      </w:r>
      <w:r w:rsidRPr="00C04A7D">
        <w:rPr>
          <w:rFonts w:ascii="Times New Roman" w:hAnsi="Times New Roman" w:cs="Times New Roman"/>
          <w:sz w:val="22"/>
          <w:szCs w:val="22"/>
          <w:lang w:val="ru-RU"/>
        </w:rPr>
        <w:t>(совместно далее – «</w:t>
      </w:r>
      <w:r w:rsidRPr="00C04A7D">
        <w:rPr>
          <w:rFonts w:ascii="Times New Roman" w:hAnsi="Times New Roman" w:cs="Times New Roman"/>
          <w:b/>
          <w:sz w:val="22"/>
          <w:szCs w:val="22"/>
          <w:lang w:val="ru-RU"/>
        </w:rPr>
        <w:t>Услуги</w:t>
      </w:r>
      <w:r w:rsidRPr="00C04A7D">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C04A7D"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C04A7D">
        <w:rPr>
          <w:rFonts w:ascii="Times New Roman" w:eastAsia="Calibri" w:hAnsi="Times New Roman" w:cs="Times New Roman"/>
          <w:sz w:val="22"/>
          <w:szCs w:val="22"/>
          <w:lang w:val="ru-RU"/>
        </w:rPr>
        <w:t xml:space="preserve">Стоимость оказания Услуг по Договору составляет </w:t>
      </w:r>
      <w:r w:rsidRPr="00C04A7D">
        <w:rPr>
          <w:rFonts w:ascii="Times New Roman" w:hAnsi="Times New Roman" w:cs="Times New Roman"/>
          <w:b/>
          <w:bCs/>
          <w:sz w:val="22"/>
          <w:szCs w:val="22"/>
          <w:lang w:val="ru-RU"/>
        </w:rPr>
        <w:t>______________</w:t>
      </w:r>
      <w:r w:rsidRPr="00C04A7D">
        <w:rPr>
          <w:rFonts w:ascii="Times New Roman" w:eastAsia="Calibri" w:hAnsi="Times New Roman" w:cs="Times New Roman"/>
          <w:b/>
          <w:bCs/>
          <w:sz w:val="22"/>
          <w:szCs w:val="22"/>
          <w:lang w:val="ru-RU"/>
        </w:rPr>
        <w:t>сом</w:t>
      </w:r>
      <w:r w:rsidRPr="00C04A7D">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C04A7D">
        <w:rPr>
          <w:rFonts w:ascii="Times New Roman" w:hAnsi="Times New Roman" w:cs="Times New Roman"/>
          <w:sz w:val="22"/>
          <w:szCs w:val="22"/>
          <w:lang w:val="ru-RU"/>
        </w:rPr>
        <w:t>Исполнителя</w:t>
      </w:r>
      <w:r w:rsidRPr="00C04A7D">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C04A7D"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04A7D" w:rsidRDefault="001E04FB"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      </w:t>
      </w:r>
    </w:p>
    <w:p w14:paraId="00C5642E"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Исполнитель</w:t>
      </w:r>
      <w:r w:rsidRPr="00C04A7D">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04A7D">
        <w:rPr>
          <w:rFonts w:ascii="Times New Roman" w:hAnsi="Times New Roman" w:cs="Times New Roman"/>
          <w:sz w:val="22"/>
          <w:szCs w:val="22"/>
          <w:lang w:val="ru-RU"/>
        </w:rPr>
        <w:t>Исполнителем</w:t>
      </w:r>
      <w:r w:rsidRPr="00C04A7D">
        <w:rPr>
          <w:rFonts w:ascii="Times New Roman" w:eastAsia="Times New Roman" w:hAnsi="Times New Roman" w:cs="Times New Roman"/>
          <w:sz w:val="22"/>
          <w:szCs w:val="22"/>
          <w:lang w:val="ru-RU"/>
        </w:rPr>
        <w:t xml:space="preserve"> при оказании услуг.</w:t>
      </w:r>
    </w:p>
    <w:p w14:paraId="2FA0E392" w14:textId="77777777" w:rsidR="001E04FB" w:rsidRPr="00C04A7D"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C04A7D"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C04A7D">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C04A7D" w:rsidRDefault="001E04FB"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C04A7D" w:rsidRDefault="001E04FB" w:rsidP="00E006AB">
      <w:pPr>
        <w:tabs>
          <w:tab w:val="left" w:pos="450"/>
        </w:tabs>
        <w:spacing w:after="0"/>
        <w:jc w:val="both"/>
        <w:rPr>
          <w:rFonts w:ascii="Times New Roman" w:hAnsi="Times New Roman" w:cs="Times New Roman"/>
          <w:b/>
          <w:bCs/>
          <w:sz w:val="22"/>
          <w:szCs w:val="22"/>
          <w:lang w:val="ru-RU"/>
        </w:rPr>
      </w:pPr>
      <w:r w:rsidRPr="00C04A7D">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04A7D">
        <w:rPr>
          <w:rFonts w:ascii="Times New Roman" w:hAnsi="Times New Roman" w:cs="Times New Roman"/>
          <w:b/>
          <w:bCs/>
          <w:sz w:val="22"/>
          <w:szCs w:val="22"/>
          <w:lang w:val="ru-RU"/>
        </w:rPr>
        <w:t xml:space="preserve"> </w:t>
      </w:r>
    </w:p>
    <w:p w14:paraId="4F42CB88"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все требуемые СИЗы для выполнения работ предоставляются (</w:t>
      </w:r>
      <w:r w:rsidRPr="00C04A7D">
        <w:rPr>
          <w:rFonts w:ascii="Times New Roman" w:hAnsi="Times New Roman" w:cs="Times New Roman"/>
          <w:i/>
          <w:iCs/>
          <w:sz w:val="22"/>
          <w:szCs w:val="22"/>
          <w:lang w:val="ru-RU"/>
        </w:rPr>
        <w:t>оговаривается дополнительно при подписании договора)</w:t>
      </w:r>
      <w:r w:rsidRPr="00C04A7D">
        <w:rPr>
          <w:rFonts w:ascii="Times New Roman" w:hAnsi="Times New Roman" w:cs="Times New Roman"/>
          <w:sz w:val="22"/>
          <w:szCs w:val="22"/>
          <w:lang w:val="ru-RU"/>
        </w:rPr>
        <w:t xml:space="preserve"> на время оказания Услуг.</w:t>
      </w:r>
    </w:p>
    <w:p w14:paraId="6540D44C"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C04A7D">
        <w:rPr>
          <w:rFonts w:ascii="Times New Roman" w:hAnsi="Times New Roman" w:cs="Times New Roman"/>
          <w:sz w:val="22"/>
          <w:szCs w:val="22"/>
          <w:lang w:val="ru-RU"/>
        </w:rPr>
        <w:t>(</w:t>
      </w:r>
      <w:r w:rsidRPr="00C04A7D">
        <w:rPr>
          <w:rFonts w:ascii="Times New Roman" w:hAnsi="Times New Roman" w:cs="Times New Roman"/>
          <w:i/>
          <w:iCs/>
          <w:sz w:val="22"/>
          <w:szCs w:val="22"/>
          <w:lang w:val="ru-RU"/>
        </w:rPr>
        <w:t>оговаривается дополнительно при подписании договора)</w:t>
      </w:r>
      <w:r w:rsidRPr="00C04A7D">
        <w:rPr>
          <w:rFonts w:ascii="Times New Roman" w:hAnsi="Times New Roman" w:cs="Times New Roman"/>
          <w:sz w:val="22"/>
          <w:szCs w:val="22"/>
          <w:lang w:val="ru-RU"/>
        </w:rPr>
        <w:t>.</w:t>
      </w:r>
    </w:p>
    <w:p w14:paraId="18D6F73D" w14:textId="77777777" w:rsidR="001E04FB" w:rsidRPr="00C04A7D"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C04A7D">
        <w:rPr>
          <w:rFonts w:ascii="Times New Roman" w:hAnsi="Times New Roman" w:cs="Times New Roman"/>
          <w:sz w:val="22"/>
          <w:szCs w:val="22"/>
          <w:lang w:val="ru-RU"/>
        </w:rPr>
        <w:t xml:space="preserve">до </w:t>
      </w:r>
      <w:r w:rsidR="00F61859" w:rsidRPr="00C04A7D">
        <w:rPr>
          <w:rFonts w:ascii="Times New Roman" w:hAnsi="Times New Roman" w:cs="Times New Roman"/>
          <w:sz w:val="22"/>
          <w:szCs w:val="22"/>
          <w:lang w:val="ru-RU"/>
        </w:rPr>
        <w:t xml:space="preserve">*** </w:t>
      </w:r>
      <w:r w:rsidR="00D94D86" w:rsidRPr="00C04A7D">
        <w:rPr>
          <w:rFonts w:ascii="Times New Roman" w:hAnsi="Times New Roman" w:cs="Times New Roman"/>
          <w:sz w:val="22"/>
          <w:szCs w:val="22"/>
          <w:lang w:val="ru-RU"/>
        </w:rPr>
        <w:t>(</w:t>
      </w:r>
      <w:r w:rsidR="00D94D86" w:rsidRPr="00C04A7D">
        <w:rPr>
          <w:rFonts w:ascii="Times New Roman" w:hAnsi="Times New Roman" w:cs="Times New Roman"/>
          <w:i/>
          <w:iCs/>
          <w:sz w:val="22"/>
          <w:szCs w:val="22"/>
          <w:lang w:val="ru-RU"/>
        </w:rPr>
        <w:t>оговаривается дополнительно при подписании договора)</w:t>
      </w:r>
      <w:r w:rsidRPr="00C04A7D">
        <w:rPr>
          <w:rFonts w:ascii="Times New Roman" w:hAnsi="Times New Roman" w:cs="Times New Roman"/>
          <w:sz w:val="22"/>
          <w:szCs w:val="22"/>
          <w:lang w:val="ru-RU"/>
        </w:rPr>
        <w:t>.</w:t>
      </w:r>
    </w:p>
    <w:p w14:paraId="30B68225" w14:textId="77777777" w:rsidR="001E04FB" w:rsidRPr="00C04A7D"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Перевозка к Месту оказания услуг и обратно: </w:t>
      </w:r>
      <w:r w:rsidRPr="00C04A7D">
        <w:rPr>
          <w:rFonts w:ascii="Times New Roman" w:hAnsi="Times New Roman" w:cs="Times New Roman"/>
          <w:sz w:val="22"/>
          <w:szCs w:val="22"/>
          <w:lang w:val="ru-RU"/>
        </w:rPr>
        <w:t>(</w:t>
      </w:r>
      <w:r w:rsidRPr="00C04A7D">
        <w:rPr>
          <w:rFonts w:ascii="Times New Roman" w:hAnsi="Times New Roman" w:cs="Times New Roman"/>
          <w:i/>
          <w:iCs/>
          <w:sz w:val="22"/>
          <w:szCs w:val="22"/>
          <w:lang w:val="ru-RU"/>
        </w:rPr>
        <w:t>оговаривается дополнительно при подписании договора)</w:t>
      </w:r>
      <w:r w:rsidRPr="00C04A7D">
        <w:rPr>
          <w:rFonts w:ascii="Times New Roman" w:hAnsi="Times New Roman" w:cs="Times New Roman"/>
          <w:sz w:val="22"/>
          <w:szCs w:val="22"/>
          <w:lang w:val="ru-RU"/>
        </w:rPr>
        <w:t>.</w:t>
      </w:r>
    </w:p>
    <w:p w14:paraId="274C7BDB" w14:textId="77777777" w:rsidR="001E04FB" w:rsidRPr="00C04A7D"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C04A7D">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04A7D"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Медицинский допуск на работу:</w:t>
      </w:r>
      <w:r w:rsidRPr="00C04A7D">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04A7D"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Охрана труда и ТБ при оказании Услуг:</w:t>
      </w:r>
      <w:r w:rsidRPr="00C04A7D">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b/>
          <w:bCs/>
          <w:sz w:val="22"/>
          <w:szCs w:val="22"/>
          <w:lang w:val="ru-RU"/>
        </w:rPr>
        <w:t>Правила нахождения на территории Заказчика:</w:t>
      </w:r>
      <w:r w:rsidRPr="00C04A7D">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Иные условия: </w:t>
      </w:r>
      <w:r w:rsidRPr="00C04A7D">
        <w:rPr>
          <w:rFonts w:ascii="Times New Roman" w:hAnsi="Times New Roman" w:cs="Times New Roman"/>
          <w:b/>
          <w:bCs/>
          <w:sz w:val="22"/>
          <w:szCs w:val="22"/>
          <w:lang w:val="ru-RU"/>
        </w:rPr>
        <w:t>не применимы.</w:t>
      </w:r>
      <w:r w:rsidRPr="00C04A7D">
        <w:rPr>
          <w:rFonts w:ascii="Times New Roman" w:hAnsi="Times New Roman" w:cs="Times New Roman"/>
          <w:sz w:val="22"/>
          <w:szCs w:val="22"/>
          <w:lang w:val="ru-RU"/>
        </w:rPr>
        <w:t xml:space="preserve"> </w:t>
      </w:r>
    </w:p>
    <w:p w14:paraId="1F9BB641"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C04A7D" w:rsidRDefault="001E04FB" w:rsidP="00E006AB">
      <w:pPr>
        <w:tabs>
          <w:tab w:val="left" w:pos="450"/>
        </w:tabs>
        <w:spacing w:after="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C04A7D"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C04A7D" w:rsidRDefault="001E04FB" w:rsidP="00E006AB">
      <w:pPr>
        <w:tabs>
          <w:tab w:val="left" w:pos="450"/>
        </w:tabs>
        <w:spacing w:after="0"/>
        <w:jc w:val="both"/>
        <w:rPr>
          <w:rFonts w:ascii="Times New Roman" w:hAnsi="Times New Roman" w:cs="Times New Roman"/>
          <w:b/>
          <w:bCs/>
          <w:sz w:val="22"/>
          <w:szCs w:val="22"/>
          <w:lang w:val="ru-RU"/>
        </w:rPr>
      </w:pPr>
      <w:r w:rsidRPr="00C04A7D">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lastRenderedPageBreak/>
        <w:t>Особые условия Договора: несмотря</w:t>
      </w:r>
      <w:r w:rsidRPr="00C04A7D">
        <w:rPr>
          <w:rFonts w:ascii="Times New Roman" w:eastAsia="Times New Roman" w:hAnsi="Times New Roman" w:cs="Times New Roman"/>
          <w:sz w:val="22"/>
          <w:szCs w:val="22"/>
          <w:lang w:val="ru-RU" w:eastAsia="zh-CN"/>
        </w:rPr>
        <w:t xml:space="preserve"> на изложенное в Договоре, Стороны </w:t>
      </w:r>
      <w:r w:rsidRPr="00C04A7D">
        <w:rPr>
          <w:rFonts w:ascii="Times New Roman" w:hAnsi="Times New Roman" w:cs="Times New Roman"/>
          <w:sz w:val="22"/>
          <w:szCs w:val="22"/>
          <w:lang w:val="ru-RU"/>
        </w:rPr>
        <w:t>согласились</w:t>
      </w:r>
      <w:r w:rsidRPr="00C04A7D">
        <w:rPr>
          <w:rFonts w:ascii="Times New Roman" w:eastAsia="Times New Roman" w:hAnsi="Times New Roman" w:cs="Times New Roman"/>
          <w:sz w:val="22"/>
          <w:szCs w:val="22"/>
          <w:lang w:val="ru-RU" w:eastAsia="zh-CN"/>
        </w:rPr>
        <w:t xml:space="preserve"> с нижеследующими </w:t>
      </w:r>
      <w:r w:rsidRPr="00C04A7D">
        <w:rPr>
          <w:rFonts w:ascii="Times New Roman" w:hAnsi="Times New Roman" w:cs="Times New Roman"/>
          <w:sz w:val="22"/>
          <w:szCs w:val="22"/>
          <w:lang w:val="ru-RU"/>
        </w:rPr>
        <w:t xml:space="preserve">особыми </w:t>
      </w:r>
      <w:r w:rsidRPr="00C04A7D">
        <w:rPr>
          <w:rFonts w:ascii="Times New Roman" w:eastAsia="Times New Roman" w:hAnsi="Times New Roman" w:cs="Times New Roman"/>
          <w:sz w:val="22"/>
          <w:szCs w:val="22"/>
          <w:lang w:val="ru-RU" w:eastAsia="zh-CN"/>
        </w:rPr>
        <w:t>условиями</w:t>
      </w:r>
      <w:r w:rsidRPr="00C04A7D">
        <w:rPr>
          <w:rFonts w:ascii="Times New Roman" w:hAnsi="Times New Roman" w:cs="Times New Roman"/>
          <w:sz w:val="22"/>
          <w:szCs w:val="22"/>
          <w:lang w:val="ru-RU"/>
        </w:rPr>
        <w:t xml:space="preserve">: </w:t>
      </w:r>
      <w:r w:rsidRPr="00C04A7D">
        <w:rPr>
          <w:rFonts w:ascii="Times New Roman" w:hAnsi="Times New Roman" w:cs="Times New Roman"/>
          <w:b/>
          <w:bCs/>
          <w:sz w:val="22"/>
          <w:szCs w:val="22"/>
          <w:lang w:val="ru-RU"/>
        </w:rPr>
        <w:t>не применимы.</w:t>
      </w:r>
    </w:p>
    <w:p w14:paraId="6CDF629E"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04A7D">
        <w:rPr>
          <w:rFonts w:ascii="Times New Roman" w:eastAsia="Calibri" w:hAnsi="Times New Roman" w:cs="Times New Roman"/>
          <w:sz w:val="22"/>
          <w:szCs w:val="22"/>
          <w:lang w:val="ru-RU"/>
        </w:rPr>
        <w:t>.</w:t>
      </w:r>
    </w:p>
    <w:p w14:paraId="78D54298" w14:textId="77777777" w:rsidR="001E04FB" w:rsidRPr="00C04A7D"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04A7D"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C04A7D"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C04A7D">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04A7D"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04A7D"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C04A7D">
        <w:rPr>
          <w:rFonts w:ascii="Times New Roman" w:hAnsi="Times New Roman" w:cs="Times New Roman"/>
          <w:sz w:val="22"/>
          <w:szCs w:val="22"/>
          <w:lang w:val="ru-RU"/>
        </w:rPr>
        <w:tab/>
      </w:r>
    </w:p>
    <w:p w14:paraId="671F5507"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C04A7D"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C04A7D"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04A7D">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C04A7D"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C04A7D" w14:paraId="0F4B26C1" w14:textId="77777777" w:rsidTr="001E04FB">
        <w:tc>
          <w:tcPr>
            <w:tcW w:w="5515" w:type="dxa"/>
          </w:tcPr>
          <w:p w14:paraId="4EC494D7" w14:textId="77777777" w:rsidR="001E04FB" w:rsidRPr="00C04A7D" w:rsidRDefault="001E04FB" w:rsidP="00E006AB">
            <w:pPr>
              <w:pStyle w:val="a7"/>
              <w:ind w:left="0"/>
              <w:jc w:val="both"/>
              <w:rPr>
                <w:rFonts w:ascii="Times New Roman" w:hAnsi="Times New Roman" w:cs="Times New Roman"/>
                <w:b/>
                <w:bCs/>
                <w:lang w:val="ru-RU"/>
              </w:rPr>
            </w:pPr>
            <w:r w:rsidRPr="00C04A7D">
              <w:rPr>
                <w:rFonts w:ascii="Times New Roman" w:hAnsi="Times New Roman" w:cs="Times New Roman"/>
                <w:b/>
                <w:lang w:val="ru-RU"/>
              </w:rPr>
              <w:t>Заказчик:</w:t>
            </w:r>
          </w:p>
        </w:tc>
        <w:tc>
          <w:tcPr>
            <w:tcW w:w="4740" w:type="dxa"/>
          </w:tcPr>
          <w:p w14:paraId="668ECC94" w14:textId="77777777" w:rsidR="001E04FB" w:rsidRPr="00C04A7D" w:rsidRDefault="001E04FB" w:rsidP="00E006AB">
            <w:pPr>
              <w:pStyle w:val="af"/>
              <w:spacing w:before="0" w:beforeAutospacing="0" w:after="0" w:afterAutospacing="0"/>
              <w:contextualSpacing/>
              <w:rPr>
                <w:b/>
                <w:bCs/>
                <w:lang w:val="ru-RU"/>
              </w:rPr>
            </w:pPr>
            <w:r w:rsidRPr="00C04A7D">
              <w:rPr>
                <w:b/>
                <w:lang w:val="ru-RU"/>
              </w:rPr>
              <w:t>Исполнитель:</w:t>
            </w:r>
          </w:p>
        </w:tc>
      </w:tr>
      <w:tr w:rsidR="00181147" w:rsidRPr="00C04A7D" w14:paraId="5ABBDA85" w14:textId="77777777" w:rsidTr="001E04FB">
        <w:tc>
          <w:tcPr>
            <w:tcW w:w="5515" w:type="dxa"/>
          </w:tcPr>
          <w:p w14:paraId="511A7D8C" w14:textId="77777777" w:rsidR="001E04FB" w:rsidRPr="00C04A7D" w:rsidRDefault="001E04FB" w:rsidP="00E006AB">
            <w:pPr>
              <w:pStyle w:val="a7"/>
              <w:ind w:left="0"/>
              <w:jc w:val="both"/>
              <w:rPr>
                <w:rFonts w:ascii="Times New Roman" w:hAnsi="Times New Roman" w:cs="Times New Roman"/>
                <w:b/>
                <w:bCs/>
                <w:lang w:val="ru-RU"/>
              </w:rPr>
            </w:pPr>
            <w:r w:rsidRPr="00C04A7D">
              <w:rPr>
                <w:rFonts w:ascii="Times New Roman" w:hAnsi="Times New Roman" w:cs="Times New Roman"/>
                <w:b/>
                <w:bCs/>
                <w:lang w:val="ru-RU"/>
              </w:rPr>
              <w:t>ЗАО «Кумтор Голд Компани»</w:t>
            </w:r>
          </w:p>
          <w:p w14:paraId="004F4FFC" w14:textId="77777777" w:rsidR="001E04FB" w:rsidRPr="00C04A7D" w:rsidRDefault="001E04FB" w:rsidP="00E006AB">
            <w:pPr>
              <w:pStyle w:val="a7"/>
              <w:ind w:left="0"/>
              <w:jc w:val="both"/>
              <w:rPr>
                <w:rFonts w:ascii="Times New Roman" w:hAnsi="Times New Roman" w:cs="Times New Roman"/>
                <w:lang w:val="ru-RU"/>
              </w:rPr>
            </w:pPr>
          </w:p>
          <w:p w14:paraId="7DBC2E24"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t>Адрес: Кыргызская Республика</w:t>
            </w:r>
          </w:p>
          <w:p w14:paraId="374312BE"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t>г. Бишкек, ул. Ибраимова, 24</w:t>
            </w:r>
          </w:p>
          <w:p w14:paraId="2332C809"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lastRenderedPageBreak/>
              <w:t>ИНН: 01602199310079</w:t>
            </w:r>
          </w:p>
          <w:p w14:paraId="6E30BFE8"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t xml:space="preserve">Банковские реквизиты: </w:t>
            </w:r>
          </w:p>
          <w:p w14:paraId="5F3F21CA" w14:textId="77777777" w:rsidR="001E04FB" w:rsidRPr="00C04A7D" w:rsidRDefault="001E04FB" w:rsidP="00E006AB">
            <w:pPr>
              <w:rPr>
                <w:rFonts w:ascii="Times New Roman" w:hAnsi="Times New Roman" w:cs="Times New Roman"/>
                <w:bCs/>
                <w:lang w:val="ru-RU"/>
              </w:rPr>
            </w:pPr>
            <w:r w:rsidRPr="00C04A7D">
              <w:rPr>
                <w:rFonts w:ascii="Times New Roman" w:hAnsi="Times New Roman" w:cs="Times New Roman"/>
                <w:lang w:val="ru-RU"/>
              </w:rPr>
              <w:t xml:space="preserve">Банк: </w:t>
            </w:r>
            <w:r w:rsidRPr="00C04A7D">
              <w:rPr>
                <w:rFonts w:ascii="Times New Roman" w:hAnsi="Times New Roman" w:cs="Times New Roman"/>
                <w:bCs/>
                <w:lang w:val="ru-RU"/>
              </w:rPr>
              <w:t>ОАО «Айыл Банк»</w:t>
            </w:r>
          </w:p>
          <w:p w14:paraId="14001BA0"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t xml:space="preserve">БИК: </w:t>
            </w:r>
            <w:r w:rsidRPr="00C04A7D">
              <w:rPr>
                <w:rFonts w:ascii="Times New Roman" w:hAnsi="Times New Roman" w:cs="Times New Roman"/>
                <w:bCs/>
                <w:lang w:val="ru-RU"/>
              </w:rPr>
              <w:t>135001</w:t>
            </w:r>
          </w:p>
          <w:p w14:paraId="63308969"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t>Р/с №</w:t>
            </w:r>
            <w:r w:rsidRPr="00C04A7D">
              <w:rPr>
                <w:rFonts w:ascii="Times New Roman" w:hAnsi="Times New Roman" w:cs="Times New Roman"/>
                <w:bCs/>
                <w:lang w:val="ru-RU"/>
              </w:rPr>
              <w:t>1350100020023658</w:t>
            </w:r>
          </w:p>
          <w:p w14:paraId="58147B80"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lang w:val="ru-RU"/>
              </w:rPr>
              <w:t>Код и наименование ГНИ: 999 – УГНС ККН</w:t>
            </w:r>
          </w:p>
          <w:p w14:paraId="24D2CF18" w14:textId="77777777" w:rsidR="001E04FB" w:rsidRPr="00C04A7D" w:rsidRDefault="001E04FB" w:rsidP="00E006AB">
            <w:pPr>
              <w:pStyle w:val="a7"/>
              <w:ind w:left="0"/>
              <w:jc w:val="both"/>
              <w:rPr>
                <w:rFonts w:ascii="Times New Roman" w:hAnsi="Times New Roman" w:cs="Times New Roman"/>
                <w:lang w:val="ru-RU"/>
              </w:rPr>
            </w:pPr>
            <w:r w:rsidRPr="00C04A7D">
              <w:rPr>
                <w:rFonts w:ascii="Times New Roman" w:hAnsi="Times New Roman" w:cs="Times New Roman"/>
                <w:bCs/>
                <w:lang w:val="ru-RU"/>
              </w:rPr>
              <w:t>Тел.: (+996 312) 90-07-07, 90-08-08</w:t>
            </w:r>
          </w:p>
        </w:tc>
        <w:tc>
          <w:tcPr>
            <w:tcW w:w="4740" w:type="dxa"/>
          </w:tcPr>
          <w:p w14:paraId="465F8D48" w14:textId="77777777" w:rsidR="001E04FB" w:rsidRPr="00C04A7D" w:rsidRDefault="001E04FB" w:rsidP="00E006AB">
            <w:pPr>
              <w:rPr>
                <w:rFonts w:ascii="Times New Roman" w:hAnsi="Times New Roman" w:cs="Times New Roman"/>
                <w:lang w:val="ru-RU"/>
              </w:rPr>
            </w:pPr>
          </w:p>
        </w:tc>
      </w:tr>
      <w:tr w:rsidR="00181147" w:rsidRPr="00C04A7D"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C04A7D" w14:paraId="56A193F5" w14:textId="77777777" w:rsidTr="001E04FB">
              <w:tc>
                <w:tcPr>
                  <w:tcW w:w="5299" w:type="dxa"/>
                </w:tcPr>
                <w:p w14:paraId="3BE578CA" w14:textId="77777777" w:rsidR="001E04FB" w:rsidRPr="00C04A7D" w:rsidRDefault="001E04FB" w:rsidP="00E006AB">
                  <w:pPr>
                    <w:contextualSpacing/>
                    <w:rPr>
                      <w:rFonts w:ascii="Times New Roman" w:hAnsi="Times New Roman" w:cs="Times New Roman"/>
                      <w:b/>
                      <w:bCs/>
                      <w:lang w:val="ru-RU"/>
                    </w:rPr>
                  </w:pPr>
                  <w:r w:rsidRPr="00C04A7D">
                    <w:rPr>
                      <w:rFonts w:ascii="Times New Roman" w:hAnsi="Times New Roman" w:cs="Times New Roman"/>
                      <w:b/>
                      <w:lang w:val="ru-RU"/>
                    </w:rPr>
                    <w:lastRenderedPageBreak/>
                    <w:t>Заказчик</w:t>
                  </w:r>
                </w:p>
              </w:tc>
            </w:tr>
            <w:tr w:rsidR="00181147" w:rsidRPr="00C04A7D" w14:paraId="40B55093" w14:textId="77777777" w:rsidTr="001E04FB">
              <w:trPr>
                <w:trHeight w:val="80"/>
              </w:trPr>
              <w:tc>
                <w:tcPr>
                  <w:tcW w:w="5299" w:type="dxa"/>
                </w:tcPr>
                <w:p w14:paraId="0FB613DF" w14:textId="77777777" w:rsidR="001E04FB" w:rsidRPr="00C04A7D" w:rsidRDefault="001E04FB" w:rsidP="00E006AB">
                  <w:pPr>
                    <w:contextualSpacing/>
                    <w:rPr>
                      <w:rFonts w:ascii="Times New Roman" w:hAnsi="Times New Roman" w:cs="Times New Roman"/>
                      <w:b/>
                      <w:lang w:val="ru-RU"/>
                    </w:rPr>
                  </w:pPr>
                </w:p>
              </w:tc>
            </w:tr>
            <w:tr w:rsidR="00181147" w:rsidRPr="00C04A7D" w14:paraId="1D0AC6FC" w14:textId="77777777" w:rsidTr="001E04FB">
              <w:tc>
                <w:tcPr>
                  <w:tcW w:w="5299" w:type="dxa"/>
                </w:tcPr>
                <w:p w14:paraId="06E0FEA8" w14:textId="77777777" w:rsidR="001E04FB" w:rsidRPr="00C04A7D" w:rsidRDefault="001E04FB" w:rsidP="00E006AB">
                  <w:pPr>
                    <w:contextualSpacing/>
                    <w:rPr>
                      <w:rFonts w:ascii="Times New Roman" w:hAnsi="Times New Roman" w:cs="Times New Roman"/>
                      <w:b/>
                      <w:lang w:val="ru-RU"/>
                    </w:rPr>
                  </w:pPr>
                </w:p>
              </w:tc>
            </w:tr>
            <w:tr w:rsidR="00181147" w:rsidRPr="00C04A7D" w14:paraId="4422D7C4" w14:textId="77777777" w:rsidTr="001E04FB">
              <w:tc>
                <w:tcPr>
                  <w:tcW w:w="5299" w:type="dxa"/>
                </w:tcPr>
                <w:p w14:paraId="4180761C" w14:textId="27792B4C" w:rsidR="001E04FB" w:rsidRPr="00C04A7D" w:rsidRDefault="001E04FB" w:rsidP="00E006AB">
                  <w:pPr>
                    <w:contextualSpacing/>
                    <w:rPr>
                      <w:rFonts w:ascii="Times New Roman" w:hAnsi="Times New Roman" w:cs="Times New Roman"/>
                      <w:bCs/>
                    </w:rPr>
                  </w:pPr>
                  <w:r w:rsidRPr="00C04A7D">
                    <w:rPr>
                      <w:rFonts w:ascii="Times New Roman" w:hAnsi="Times New Roman" w:cs="Times New Roman"/>
                      <w:bCs/>
                    </w:rPr>
                    <w:t>_____________________</w:t>
                  </w:r>
                </w:p>
              </w:tc>
            </w:tr>
            <w:tr w:rsidR="00181147" w:rsidRPr="00C04A7D" w14:paraId="2C0B9B81" w14:textId="77777777" w:rsidTr="001E04FB">
              <w:trPr>
                <w:trHeight w:val="117"/>
              </w:trPr>
              <w:tc>
                <w:tcPr>
                  <w:tcW w:w="5299" w:type="dxa"/>
                </w:tcPr>
                <w:p w14:paraId="07BC613C" w14:textId="77777777" w:rsidR="001E04FB" w:rsidRPr="00C04A7D" w:rsidRDefault="001E04FB" w:rsidP="00E006AB">
                  <w:pPr>
                    <w:rPr>
                      <w:rFonts w:ascii="Times New Roman" w:hAnsi="Times New Roman" w:cs="Times New Roman"/>
                      <w:lang w:val="ru-RU"/>
                    </w:rPr>
                  </w:pPr>
                  <w:r w:rsidRPr="00C04A7D">
                    <w:rPr>
                      <w:rFonts w:ascii="Times New Roman" w:hAnsi="Times New Roman" w:cs="Times New Roman"/>
                      <w:lang w:val="ru-RU"/>
                    </w:rPr>
                    <w:t>ФИО</w:t>
                  </w:r>
                </w:p>
                <w:p w14:paraId="60EAE4E8" w14:textId="77777777" w:rsidR="001E04FB" w:rsidRPr="00C04A7D" w:rsidRDefault="001E04FB" w:rsidP="00E006AB">
                  <w:pPr>
                    <w:contextualSpacing/>
                    <w:rPr>
                      <w:rFonts w:ascii="Times New Roman" w:hAnsi="Times New Roman" w:cs="Times New Roman"/>
                      <w:b/>
                      <w:lang w:val="ru-RU"/>
                    </w:rPr>
                  </w:pPr>
                  <w:r w:rsidRPr="00C04A7D">
                    <w:rPr>
                      <w:rFonts w:ascii="Times New Roman" w:hAnsi="Times New Roman" w:cs="Times New Roman"/>
                      <w:b/>
                      <w:lang w:val="ru-RU"/>
                    </w:rPr>
                    <w:t>Должность</w:t>
                  </w:r>
                </w:p>
              </w:tc>
            </w:tr>
          </w:tbl>
          <w:p w14:paraId="16DCCB31" w14:textId="77777777" w:rsidR="001E04FB" w:rsidRPr="00C04A7D"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C04A7D" w14:paraId="61C26EFE" w14:textId="77777777" w:rsidTr="001E04FB">
              <w:tc>
                <w:tcPr>
                  <w:tcW w:w="4320" w:type="dxa"/>
                </w:tcPr>
                <w:p w14:paraId="76D4EE2F" w14:textId="77777777" w:rsidR="001E04FB" w:rsidRPr="00C04A7D" w:rsidRDefault="001E04FB" w:rsidP="00E006AB">
                  <w:pPr>
                    <w:contextualSpacing/>
                    <w:rPr>
                      <w:rFonts w:ascii="Times New Roman" w:hAnsi="Times New Roman" w:cs="Times New Roman"/>
                      <w:b/>
                      <w:bCs/>
                      <w:lang w:val="ru-RU"/>
                    </w:rPr>
                  </w:pPr>
                  <w:r w:rsidRPr="00C04A7D">
                    <w:rPr>
                      <w:rFonts w:ascii="Times New Roman" w:hAnsi="Times New Roman" w:cs="Times New Roman"/>
                      <w:b/>
                      <w:lang w:val="ru-RU"/>
                    </w:rPr>
                    <w:t>Исполнитель</w:t>
                  </w:r>
                </w:p>
              </w:tc>
            </w:tr>
            <w:tr w:rsidR="00181147" w:rsidRPr="00C04A7D" w14:paraId="6CDC6B2B" w14:textId="77777777" w:rsidTr="001E04FB">
              <w:trPr>
                <w:trHeight w:val="80"/>
              </w:trPr>
              <w:tc>
                <w:tcPr>
                  <w:tcW w:w="4320" w:type="dxa"/>
                </w:tcPr>
                <w:p w14:paraId="7B28F218" w14:textId="77777777" w:rsidR="001E04FB" w:rsidRPr="00C04A7D" w:rsidRDefault="001E04FB" w:rsidP="00E006AB">
                  <w:pPr>
                    <w:contextualSpacing/>
                    <w:rPr>
                      <w:rFonts w:ascii="Times New Roman" w:hAnsi="Times New Roman" w:cs="Times New Roman"/>
                      <w:b/>
                      <w:lang w:val="ru-RU"/>
                    </w:rPr>
                  </w:pPr>
                </w:p>
              </w:tc>
            </w:tr>
            <w:tr w:rsidR="00181147" w:rsidRPr="00C04A7D" w14:paraId="588834A5" w14:textId="77777777" w:rsidTr="001E04FB">
              <w:tc>
                <w:tcPr>
                  <w:tcW w:w="4320" w:type="dxa"/>
                </w:tcPr>
                <w:p w14:paraId="5F08328D" w14:textId="77777777" w:rsidR="001E04FB" w:rsidRPr="00C04A7D" w:rsidRDefault="001E04FB" w:rsidP="00E006AB">
                  <w:pPr>
                    <w:contextualSpacing/>
                    <w:rPr>
                      <w:rFonts w:ascii="Times New Roman" w:hAnsi="Times New Roman" w:cs="Times New Roman"/>
                      <w:b/>
                      <w:lang w:val="ru-RU"/>
                    </w:rPr>
                  </w:pPr>
                </w:p>
              </w:tc>
            </w:tr>
            <w:tr w:rsidR="00181147" w:rsidRPr="00C04A7D" w14:paraId="6C3C7FB1" w14:textId="77777777" w:rsidTr="001E04FB">
              <w:tc>
                <w:tcPr>
                  <w:tcW w:w="4320" w:type="dxa"/>
                </w:tcPr>
                <w:p w14:paraId="7C588D95" w14:textId="77777777" w:rsidR="001E04FB" w:rsidRPr="00C04A7D" w:rsidRDefault="001E04FB" w:rsidP="00E006AB">
                  <w:pPr>
                    <w:contextualSpacing/>
                    <w:rPr>
                      <w:rFonts w:ascii="Times New Roman" w:hAnsi="Times New Roman" w:cs="Times New Roman"/>
                      <w:b/>
                      <w:lang w:val="ru-RU"/>
                    </w:rPr>
                  </w:pPr>
                  <w:r w:rsidRPr="00C04A7D">
                    <w:rPr>
                      <w:rFonts w:ascii="Times New Roman" w:hAnsi="Times New Roman" w:cs="Times New Roman"/>
                      <w:lang w:val="ru-RU"/>
                    </w:rPr>
                    <w:t>____________________</w:t>
                  </w:r>
                </w:p>
              </w:tc>
            </w:tr>
            <w:tr w:rsidR="00181147" w:rsidRPr="00C04A7D" w14:paraId="3B15DD75" w14:textId="77777777" w:rsidTr="001E04FB">
              <w:trPr>
                <w:trHeight w:val="117"/>
              </w:trPr>
              <w:tc>
                <w:tcPr>
                  <w:tcW w:w="4320" w:type="dxa"/>
                </w:tcPr>
                <w:p w14:paraId="67FB9F29" w14:textId="77777777" w:rsidR="001E04FB" w:rsidRPr="00C04A7D" w:rsidRDefault="001E04FB" w:rsidP="00E006AB">
                  <w:pPr>
                    <w:contextualSpacing/>
                    <w:rPr>
                      <w:rFonts w:ascii="Times New Roman" w:hAnsi="Times New Roman" w:cs="Times New Roman"/>
                      <w:b/>
                      <w:lang w:val="ru-RU"/>
                    </w:rPr>
                  </w:pPr>
                </w:p>
              </w:tc>
            </w:tr>
          </w:tbl>
          <w:p w14:paraId="2F6BE10E" w14:textId="77777777" w:rsidR="001E04FB" w:rsidRPr="00C04A7D" w:rsidRDefault="001E04FB" w:rsidP="00E006AB">
            <w:pPr>
              <w:rPr>
                <w:rFonts w:ascii="Times New Roman" w:hAnsi="Times New Roman" w:cs="Times New Roman"/>
                <w:lang w:val="ru-RU"/>
              </w:rPr>
            </w:pPr>
          </w:p>
        </w:tc>
      </w:tr>
    </w:tbl>
    <w:p w14:paraId="47372597" w14:textId="29A9FA9B" w:rsidR="00F82475" w:rsidRPr="00C04A7D" w:rsidRDefault="00F82475" w:rsidP="00E006AB">
      <w:pPr>
        <w:spacing w:after="0"/>
        <w:rPr>
          <w:rFonts w:ascii="Times New Roman" w:hAnsi="Times New Roman" w:cs="Times New Roman"/>
          <w:sz w:val="22"/>
          <w:szCs w:val="22"/>
          <w:lang w:val="ru-RU"/>
        </w:rPr>
      </w:pPr>
      <w:r w:rsidRPr="00C04A7D">
        <w:rPr>
          <w:rFonts w:ascii="Times New Roman" w:hAnsi="Times New Roman" w:cs="Times New Roman"/>
          <w:sz w:val="22"/>
          <w:szCs w:val="22"/>
          <w:lang w:val="ru-RU"/>
        </w:rPr>
        <w:br w:type="page"/>
      </w:r>
    </w:p>
    <w:p w14:paraId="0BCB55E1" w14:textId="5BB152EF" w:rsidR="00F82475" w:rsidRPr="00C04A7D" w:rsidRDefault="00F82475" w:rsidP="00E006AB">
      <w:pPr>
        <w:spacing w:after="0" w:line="240" w:lineRule="auto"/>
        <w:jc w:val="right"/>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lastRenderedPageBreak/>
        <w:t>ПРИЛОЖЕНИЕ №</w:t>
      </w:r>
      <w:r w:rsidR="00CF6410" w:rsidRPr="00C04A7D">
        <w:rPr>
          <w:rFonts w:ascii="Times New Roman" w:eastAsia="Times New Roman" w:hAnsi="Times New Roman" w:cs="Times New Roman"/>
          <w:b/>
          <w:bCs/>
          <w:sz w:val="22"/>
          <w:szCs w:val="22"/>
          <w:lang w:val="ru-RU"/>
        </w:rPr>
        <w:t>7</w:t>
      </w:r>
      <w:r w:rsidRPr="00C04A7D">
        <w:rPr>
          <w:rFonts w:ascii="Times New Roman" w:eastAsia="Times New Roman" w:hAnsi="Times New Roman" w:cs="Times New Roman"/>
          <w:b/>
          <w:bCs/>
          <w:sz w:val="22"/>
          <w:szCs w:val="22"/>
          <w:lang w:val="ru-RU"/>
        </w:rPr>
        <w:t xml:space="preserve"> К ПРИГЛАШЕНИЮ</w:t>
      </w:r>
    </w:p>
    <w:p w14:paraId="12AA3E6E" w14:textId="77777777" w:rsidR="00F82475" w:rsidRPr="00C04A7D" w:rsidRDefault="00F82475" w:rsidP="00E006AB">
      <w:pPr>
        <w:spacing w:after="0" w:line="240" w:lineRule="auto"/>
        <w:jc w:val="right"/>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 xml:space="preserve">Ценовое предложение </w:t>
      </w:r>
    </w:p>
    <w:p w14:paraId="653BE32C" w14:textId="77777777" w:rsidR="00F82475" w:rsidRPr="00C04A7D"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C04A7D" w:rsidRDefault="00B47235" w:rsidP="00E006AB">
      <w:pPr>
        <w:spacing w:after="0" w:line="240" w:lineRule="auto"/>
        <w:jc w:val="center"/>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C04A7D">
        <w:rPr>
          <w:rFonts w:ascii="Times New Roman" w:hAnsi="Times New Roman" w:cs="Times New Roman"/>
          <w:sz w:val="22"/>
          <w:szCs w:val="22"/>
          <w:lang w:val="ru-RU"/>
        </w:rPr>
        <w:t>конкурсу</w:t>
      </w:r>
      <w:r w:rsidRPr="00C04A7D">
        <w:rPr>
          <w:rFonts w:ascii="Times New Roman" w:hAnsi="Times New Roman" w:cs="Times New Roman"/>
          <w:sz w:val="22"/>
          <w:szCs w:val="22"/>
          <w:lang w:val="ru-RU"/>
        </w:rPr>
        <w:t>.</w:t>
      </w:r>
    </w:p>
    <w:p w14:paraId="1EFD54BD" w14:textId="77777777" w:rsidR="00263C61" w:rsidRPr="00C04A7D" w:rsidRDefault="00263C61" w:rsidP="00E006AB">
      <w:pPr>
        <w:spacing w:after="0" w:line="240" w:lineRule="auto"/>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C04A7D" w:rsidRDefault="00263C61" w:rsidP="00E006AB">
      <w:pPr>
        <w:spacing w:after="0" w:line="240" w:lineRule="auto"/>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Предмет закупки_______________________</w:t>
      </w:r>
    </w:p>
    <w:p w14:paraId="18B9A787" w14:textId="77777777" w:rsidR="00263C61" w:rsidRPr="00C04A7D" w:rsidRDefault="00263C61" w:rsidP="00E006AB">
      <w:pPr>
        <w:spacing w:after="0" w:line="240" w:lineRule="auto"/>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Номер закупки_________________________</w:t>
      </w:r>
    </w:p>
    <w:p w14:paraId="2489E863" w14:textId="77777777" w:rsidR="00137143" w:rsidRPr="00C04A7D"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C04A7D" w:rsidRDefault="008E47DD" w:rsidP="00E006AB">
      <w:pPr>
        <w:spacing w:after="0"/>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C04A7D"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1E70DD" w14:paraId="327991FD" w14:textId="56938F47" w:rsidTr="005F6D7D">
        <w:tc>
          <w:tcPr>
            <w:tcW w:w="696" w:type="dxa"/>
          </w:tcPr>
          <w:p w14:paraId="6FDED123" w14:textId="77777777"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w:t>
            </w:r>
          </w:p>
        </w:tc>
        <w:tc>
          <w:tcPr>
            <w:tcW w:w="1975" w:type="dxa"/>
          </w:tcPr>
          <w:p w14:paraId="3496AE89" w14:textId="77777777" w:rsidR="00B00725" w:rsidRPr="00C04A7D" w:rsidRDefault="00B00725"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 Наименование</w:t>
            </w:r>
          </w:p>
          <w:p w14:paraId="13B27D29" w14:textId="77777777" w:rsidR="00B00725" w:rsidRPr="00C04A7D" w:rsidRDefault="00B00725"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работ/ услуг</w:t>
            </w:r>
          </w:p>
          <w:p w14:paraId="520A0D32" w14:textId="0FFE9494"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hAnsi="Times New Roman" w:cs="Times New Roman"/>
                <w:b/>
                <w:bCs/>
                <w:sz w:val="22"/>
                <w:szCs w:val="22"/>
              </w:rPr>
              <w:t>Кол</w:t>
            </w:r>
            <w:r w:rsidRPr="00C04A7D">
              <w:rPr>
                <w:rFonts w:ascii="Times New Roman" w:hAnsi="Times New Roman" w:cs="Times New Roman"/>
                <w:b/>
                <w:bCs/>
                <w:sz w:val="22"/>
                <w:szCs w:val="22"/>
                <w:lang w:val="ru-RU"/>
              </w:rPr>
              <w:t>-</w:t>
            </w:r>
            <w:r w:rsidRPr="00C04A7D">
              <w:rPr>
                <w:rFonts w:ascii="Times New Roman" w:hAnsi="Times New Roman" w:cs="Times New Roman"/>
                <w:b/>
                <w:bCs/>
                <w:sz w:val="22"/>
                <w:szCs w:val="22"/>
              </w:rPr>
              <w:t>во</w:t>
            </w:r>
          </w:p>
        </w:tc>
        <w:tc>
          <w:tcPr>
            <w:tcW w:w="1343" w:type="dxa"/>
          </w:tcPr>
          <w:p w14:paraId="3F6EA5F2" w14:textId="3A411FDC"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C04A7D" w:rsidRDefault="00B00725"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C04A7D" w14:paraId="11FDBA86" w14:textId="62BEB705" w:rsidTr="005F6D7D">
        <w:trPr>
          <w:trHeight w:val="602"/>
        </w:trPr>
        <w:tc>
          <w:tcPr>
            <w:tcW w:w="696" w:type="dxa"/>
          </w:tcPr>
          <w:p w14:paraId="7CE263A2" w14:textId="77777777" w:rsidR="00B00725" w:rsidRPr="00C04A7D" w:rsidRDefault="00B00725" w:rsidP="00E006AB">
            <w:pPr>
              <w:spacing w:after="0" w:line="240" w:lineRule="auto"/>
              <w:jc w:val="right"/>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C04A7D" w:rsidRDefault="005F6D7D" w:rsidP="00E006AB">
            <w:pPr>
              <w:spacing w:after="0" w:line="240" w:lineRule="auto"/>
              <w:jc w:val="both"/>
              <w:rPr>
                <w:rFonts w:ascii="Times New Roman" w:eastAsia="Times New Roman" w:hAnsi="Times New Roman" w:cs="Times New Roman"/>
                <w:bCs/>
                <w:sz w:val="22"/>
                <w:szCs w:val="22"/>
                <w:lang w:val="ru-RU"/>
              </w:rPr>
            </w:pPr>
            <w:r w:rsidRPr="00C04A7D">
              <w:rPr>
                <w:rFonts w:ascii="Times New Roman" w:eastAsia="Times New Roman" w:hAnsi="Times New Roman" w:cs="Times New Roman"/>
                <w:bCs/>
                <w:sz w:val="22"/>
                <w:szCs w:val="22"/>
                <w:lang w:val="ru-RU"/>
              </w:rPr>
              <w:t>2</w:t>
            </w:r>
          </w:p>
        </w:tc>
        <w:tc>
          <w:tcPr>
            <w:tcW w:w="797" w:type="dxa"/>
          </w:tcPr>
          <w:p w14:paraId="0DFA70D6" w14:textId="05296D07" w:rsidR="00B00725" w:rsidRPr="00C04A7D" w:rsidRDefault="005F6D7D"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3</w:t>
            </w:r>
          </w:p>
        </w:tc>
        <w:tc>
          <w:tcPr>
            <w:tcW w:w="848" w:type="dxa"/>
          </w:tcPr>
          <w:p w14:paraId="5BC77BBC" w14:textId="21484803" w:rsidR="00B00725" w:rsidRPr="00C04A7D" w:rsidRDefault="005F6D7D"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4</w:t>
            </w:r>
          </w:p>
        </w:tc>
        <w:tc>
          <w:tcPr>
            <w:tcW w:w="1343" w:type="dxa"/>
          </w:tcPr>
          <w:p w14:paraId="0EE2CBC4" w14:textId="6CFF63D8" w:rsidR="00B00725" w:rsidRPr="00C04A7D" w:rsidRDefault="005F6D7D"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5</w:t>
            </w:r>
          </w:p>
        </w:tc>
        <w:tc>
          <w:tcPr>
            <w:tcW w:w="1290" w:type="dxa"/>
          </w:tcPr>
          <w:p w14:paraId="2DAFEA55" w14:textId="53030714" w:rsidR="00B00725" w:rsidRPr="00C04A7D" w:rsidRDefault="005F6D7D"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6=4*5</w:t>
            </w:r>
          </w:p>
        </w:tc>
        <w:tc>
          <w:tcPr>
            <w:tcW w:w="2046" w:type="dxa"/>
          </w:tcPr>
          <w:p w14:paraId="50BD8755" w14:textId="36335F03" w:rsidR="00B00725" w:rsidRPr="00C04A7D" w:rsidRDefault="005F6D7D"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7</w:t>
            </w:r>
          </w:p>
        </w:tc>
        <w:tc>
          <w:tcPr>
            <w:tcW w:w="1644" w:type="dxa"/>
          </w:tcPr>
          <w:p w14:paraId="498031BA" w14:textId="60EA1A40" w:rsidR="00B00725" w:rsidRPr="00C04A7D" w:rsidRDefault="005F6D7D"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8=6+7</w:t>
            </w:r>
          </w:p>
        </w:tc>
      </w:tr>
      <w:tr w:rsidR="00181147" w:rsidRPr="00C04A7D" w14:paraId="0F9D30B6" w14:textId="77777777" w:rsidTr="00B17964">
        <w:trPr>
          <w:trHeight w:val="404"/>
        </w:trPr>
        <w:tc>
          <w:tcPr>
            <w:tcW w:w="696" w:type="dxa"/>
          </w:tcPr>
          <w:p w14:paraId="28BC6FCB" w14:textId="77777777" w:rsidR="005F6D7D" w:rsidRPr="00C04A7D"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C04A7D"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C04A7D"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C04A7D"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C04A7D"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C04A7D"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C04A7D"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C04A7D"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C04A7D"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C04A7D" w:rsidRDefault="005F6D7D" w:rsidP="00E006AB">
      <w:pPr>
        <w:spacing w:after="0" w:line="240" w:lineRule="auto"/>
        <w:jc w:val="both"/>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C04A7D" w:rsidRDefault="005F6D7D"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C04A7D" w14:paraId="6BB1DA0C" w14:textId="77777777" w:rsidTr="005D72CC">
        <w:trPr>
          <w:trHeight w:val="791"/>
        </w:trPr>
        <w:tc>
          <w:tcPr>
            <w:tcW w:w="1710" w:type="dxa"/>
          </w:tcPr>
          <w:p w14:paraId="4CF528B8" w14:textId="2BF0DC4C" w:rsidR="00A10F1A" w:rsidRPr="00C04A7D" w:rsidRDefault="00A10F1A"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C04A7D" w:rsidRDefault="00A10F1A" w:rsidP="00E006AB">
            <w:pPr>
              <w:spacing w:after="0" w:line="240" w:lineRule="auto"/>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C04A7D" w:rsidRDefault="00A10F1A" w:rsidP="00E006AB">
            <w:pPr>
              <w:spacing w:after="0" w:line="240" w:lineRule="auto"/>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C04A7D" w:rsidRDefault="00A10F1A" w:rsidP="00E006AB">
            <w:pPr>
              <w:spacing w:after="0" w:line="240" w:lineRule="auto"/>
              <w:jc w:val="both"/>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t xml:space="preserve">Этапы работ/ услуг </w:t>
            </w:r>
          </w:p>
        </w:tc>
      </w:tr>
      <w:tr w:rsidR="00181147" w:rsidRPr="00C04A7D" w14:paraId="44B78B70" w14:textId="77777777" w:rsidTr="00F86494">
        <w:trPr>
          <w:trHeight w:val="467"/>
        </w:trPr>
        <w:tc>
          <w:tcPr>
            <w:tcW w:w="1710" w:type="dxa"/>
          </w:tcPr>
          <w:p w14:paraId="2106E89C" w14:textId="3389E4D5" w:rsidR="00A10F1A" w:rsidRPr="00C04A7D" w:rsidRDefault="00A10F1A" w:rsidP="00E006AB">
            <w:pPr>
              <w:spacing w:after="0" w:line="240" w:lineRule="auto"/>
              <w:jc w:val="right"/>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C04A7D" w:rsidRDefault="00A10F1A" w:rsidP="00E006AB">
            <w:pPr>
              <w:spacing w:after="0" w:line="240" w:lineRule="auto"/>
              <w:jc w:val="both"/>
              <w:rPr>
                <w:rFonts w:ascii="Times New Roman" w:eastAsia="Times New Roman" w:hAnsi="Times New Roman" w:cs="Times New Roman"/>
                <w:bCs/>
                <w:sz w:val="22"/>
                <w:szCs w:val="22"/>
                <w:lang w:val="ru-RU"/>
              </w:rPr>
            </w:pPr>
            <w:r w:rsidRPr="00C04A7D">
              <w:rPr>
                <w:rFonts w:ascii="Times New Roman" w:eastAsia="Times New Roman" w:hAnsi="Times New Roman" w:cs="Times New Roman"/>
                <w:bCs/>
                <w:sz w:val="22"/>
                <w:szCs w:val="22"/>
                <w:lang w:val="ru-RU"/>
              </w:rPr>
              <w:t>2</w:t>
            </w:r>
          </w:p>
        </w:tc>
        <w:tc>
          <w:tcPr>
            <w:tcW w:w="2610" w:type="dxa"/>
          </w:tcPr>
          <w:p w14:paraId="752149B6" w14:textId="77777777" w:rsidR="00A10F1A" w:rsidRPr="00C04A7D" w:rsidRDefault="00A10F1A"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3</w:t>
            </w:r>
          </w:p>
        </w:tc>
        <w:tc>
          <w:tcPr>
            <w:tcW w:w="2340" w:type="dxa"/>
          </w:tcPr>
          <w:p w14:paraId="49AB0EB0" w14:textId="66AB65F3" w:rsidR="00A10F1A" w:rsidRPr="00C04A7D" w:rsidRDefault="00A10F1A"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Этап 1</w:t>
            </w:r>
          </w:p>
        </w:tc>
      </w:tr>
      <w:tr w:rsidR="003A2DC0" w:rsidRPr="00C04A7D" w14:paraId="1031A669" w14:textId="77777777" w:rsidTr="00F86494">
        <w:trPr>
          <w:trHeight w:val="341"/>
        </w:trPr>
        <w:tc>
          <w:tcPr>
            <w:tcW w:w="1710" w:type="dxa"/>
          </w:tcPr>
          <w:p w14:paraId="506D2832" w14:textId="17B53A28" w:rsidR="00A10F1A" w:rsidRPr="00C04A7D" w:rsidRDefault="00A10F1A" w:rsidP="00E006AB">
            <w:pPr>
              <w:spacing w:after="0" w:line="240" w:lineRule="auto"/>
              <w:jc w:val="right"/>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C04A7D"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C04A7D"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C04A7D" w:rsidRDefault="00A10F1A" w:rsidP="00E006AB">
            <w:pPr>
              <w:spacing w:after="0" w:line="240" w:lineRule="auto"/>
              <w:jc w:val="center"/>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 xml:space="preserve">Этап 2 </w:t>
            </w:r>
          </w:p>
        </w:tc>
      </w:tr>
    </w:tbl>
    <w:p w14:paraId="4DE956B5" w14:textId="77777777" w:rsidR="00F82475" w:rsidRPr="00C04A7D"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C04A7D" w:rsidRDefault="006855C1"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C04A7D" w:rsidRDefault="006855C1"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Поставщик ________________/____________________ /</w:t>
      </w:r>
    </w:p>
    <w:p w14:paraId="75DA9CDA" w14:textId="77777777" w:rsidR="006855C1" w:rsidRPr="00C04A7D" w:rsidRDefault="006855C1"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sz w:val="22"/>
          <w:szCs w:val="22"/>
          <w:lang w:val="ru-RU"/>
        </w:rPr>
        <w:t>(подпись) (Ф.И.О., должность)</w:t>
      </w:r>
    </w:p>
    <w:p w14:paraId="5EC03F1F" w14:textId="2F08BD5A" w:rsidR="006855C1" w:rsidRPr="00C04A7D" w:rsidRDefault="006855C1" w:rsidP="00E006AB">
      <w:pPr>
        <w:spacing w:after="0"/>
        <w:rPr>
          <w:rFonts w:ascii="Times New Roman" w:eastAsia="Times New Roman" w:hAnsi="Times New Roman" w:cs="Times New Roman"/>
          <w:i/>
          <w:iCs/>
          <w:sz w:val="22"/>
          <w:szCs w:val="22"/>
          <w:lang w:val="ru-RU"/>
        </w:rPr>
      </w:pPr>
      <w:r w:rsidRPr="00C04A7D">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C04A7D" w:rsidRDefault="006855C1" w:rsidP="00E006AB">
      <w:pPr>
        <w:spacing w:after="0"/>
        <w:rPr>
          <w:rFonts w:ascii="Times New Roman" w:eastAsia="Times New Roman" w:hAnsi="Times New Roman" w:cs="Times New Roman"/>
          <w:sz w:val="22"/>
          <w:szCs w:val="22"/>
          <w:lang w:val="ru-RU"/>
        </w:rPr>
      </w:pPr>
      <w:r w:rsidRPr="00C04A7D">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C04A7D">
        <w:rPr>
          <w:rFonts w:ascii="Times New Roman" w:eastAsia="Times New Roman" w:hAnsi="Times New Roman" w:cs="Times New Roman"/>
          <w:sz w:val="22"/>
          <w:szCs w:val="22"/>
          <w:lang w:val="ru-RU"/>
        </w:rPr>
        <w:t xml:space="preserve"> </w:t>
      </w:r>
      <w:r w:rsidR="002B0F6C" w:rsidRPr="00C04A7D">
        <w:rPr>
          <w:rFonts w:ascii="Times New Roman" w:eastAsia="Times New Roman" w:hAnsi="Times New Roman" w:cs="Times New Roman"/>
          <w:sz w:val="22"/>
          <w:szCs w:val="22"/>
          <w:lang w:val="ru-RU"/>
        </w:rPr>
        <w:br w:type="page"/>
      </w:r>
    </w:p>
    <w:p w14:paraId="59D63E34" w14:textId="34A80DCC" w:rsidR="00F82475" w:rsidRPr="00C04A7D" w:rsidRDefault="002B0F6C" w:rsidP="00E006AB">
      <w:pPr>
        <w:spacing w:after="0"/>
        <w:jc w:val="right"/>
        <w:rPr>
          <w:rFonts w:ascii="Times New Roman" w:eastAsia="Times New Roman" w:hAnsi="Times New Roman" w:cs="Times New Roman"/>
          <w:b/>
          <w:bCs/>
          <w:sz w:val="22"/>
          <w:szCs w:val="22"/>
          <w:lang w:val="ru-RU"/>
        </w:rPr>
      </w:pPr>
      <w:r w:rsidRPr="00C04A7D">
        <w:rPr>
          <w:rFonts w:ascii="Times New Roman" w:eastAsia="Times New Roman" w:hAnsi="Times New Roman" w:cs="Times New Roman"/>
          <w:b/>
          <w:bCs/>
          <w:sz w:val="22"/>
          <w:szCs w:val="22"/>
          <w:lang w:val="ru-RU"/>
        </w:rPr>
        <w:lastRenderedPageBreak/>
        <w:t xml:space="preserve">Приложение </w:t>
      </w:r>
      <w:r w:rsidR="00076C9E" w:rsidRPr="00C04A7D">
        <w:rPr>
          <w:rFonts w:ascii="Times New Roman" w:eastAsia="Times New Roman" w:hAnsi="Times New Roman" w:cs="Times New Roman"/>
          <w:b/>
          <w:bCs/>
          <w:sz w:val="22"/>
          <w:szCs w:val="22"/>
          <w:lang w:val="ru-RU"/>
        </w:rPr>
        <w:t>8</w:t>
      </w:r>
      <w:r w:rsidRPr="00C04A7D">
        <w:rPr>
          <w:rFonts w:ascii="Times New Roman" w:eastAsia="Times New Roman" w:hAnsi="Times New Roman" w:cs="Times New Roman"/>
          <w:b/>
          <w:bCs/>
          <w:sz w:val="22"/>
          <w:szCs w:val="22"/>
          <w:lang w:val="ru-RU"/>
        </w:rPr>
        <w:t xml:space="preserve"> </w:t>
      </w:r>
    </w:p>
    <w:p w14:paraId="76B6A92B" w14:textId="77777777" w:rsidR="00181147" w:rsidRPr="00C04A7D"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C04A7D" w:rsidRDefault="00181147" w:rsidP="00181147">
      <w:pPr>
        <w:spacing w:after="0" w:line="240" w:lineRule="auto"/>
        <w:jc w:val="center"/>
        <w:rPr>
          <w:rFonts w:ascii="Times New Roman" w:hAnsi="Times New Roman" w:cs="Times New Roman"/>
          <w:b/>
          <w:sz w:val="22"/>
          <w:szCs w:val="22"/>
          <w:lang w:val="ru-RU"/>
        </w:rPr>
      </w:pPr>
      <w:bookmarkStart w:id="2" w:name="_Hlk145420829"/>
    </w:p>
    <w:bookmarkEnd w:id="0"/>
    <w:bookmarkEnd w:id="2"/>
    <w:p w14:paraId="4CCDC571" w14:textId="77777777" w:rsidR="005A054F" w:rsidRPr="00C04A7D" w:rsidRDefault="005A054F" w:rsidP="005A054F">
      <w:pPr>
        <w:jc w:val="center"/>
        <w:rPr>
          <w:rFonts w:ascii="Times New Roman" w:hAnsi="Times New Roman" w:cs="Times New Roman"/>
          <w:b/>
          <w:sz w:val="22"/>
          <w:szCs w:val="22"/>
          <w:lang w:val="ru-RU"/>
        </w:rPr>
      </w:pPr>
      <w:r w:rsidRPr="00C04A7D">
        <w:rPr>
          <w:rFonts w:ascii="Times New Roman" w:hAnsi="Times New Roman" w:cs="Times New Roman"/>
          <w:b/>
          <w:sz w:val="22"/>
          <w:szCs w:val="22"/>
          <w:lang w:val="ru-RU"/>
        </w:rPr>
        <w:t>ТЕХНИЧЕСКОЕ ЗАДАНИЕ</w:t>
      </w:r>
    </w:p>
    <w:p w14:paraId="0D1C5446" w14:textId="77777777" w:rsidR="005A054F" w:rsidRPr="00C04A7D" w:rsidRDefault="005A054F" w:rsidP="005A054F">
      <w:pPr>
        <w:jc w:val="center"/>
        <w:rPr>
          <w:rFonts w:ascii="Times New Roman" w:hAnsi="Times New Roman" w:cs="Times New Roman"/>
          <w:sz w:val="22"/>
          <w:szCs w:val="22"/>
          <w:lang w:val="ky-KG"/>
        </w:rPr>
      </w:pPr>
      <w:r w:rsidRPr="00C04A7D">
        <w:rPr>
          <w:rFonts w:ascii="Times New Roman" w:hAnsi="Times New Roman" w:cs="Times New Roman"/>
          <w:sz w:val="22"/>
          <w:szCs w:val="22"/>
          <w:lang w:val="ky-KG"/>
        </w:rPr>
        <w:t>н</w:t>
      </w:r>
      <w:r w:rsidRPr="00C04A7D">
        <w:rPr>
          <w:rFonts w:ascii="Times New Roman" w:hAnsi="Times New Roman" w:cs="Times New Roman"/>
          <w:sz w:val="22"/>
          <w:szCs w:val="22"/>
          <w:lang w:val="ru-RU"/>
        </w:rPr>
        <w:t>а разработку проекта «</w:t>
      </w:r>
      <w:r w:rsidRPr="00C04A7D">
        <w:rPr>
          <w:rFonts w:ascii="Times New Roman" w:hAnsi="Times New Roman" w:cs="Times New Roman"/>
          <w:sz w:val="22"/>
          <w:szCs w:val="22"/>
          <w:lang w:val="ky-KG"/>
        </w:rPr>
        <w:t>Концептуальный план вывода рудника из эксплуатации на 2026 год</w:t>
      </w:r>
      <w:r w:rsidRPr="00C04A7D">
        <w:rPr>
          <w:rFonts w:ascii="Times New Roman" w:hAnsi="Times New Roman" w:cs="Times New Roman"/>
          <w:sz w:val="22"/>
          <w:szCs w:val="22"/>
          <w:lang w:val="ru-RU"/>
        </w:rPr>
        <w:t>»</w:t>
      </w:r>
      <w:r w:rsidRPr="00C04A7D">
        <w:rPr>
          <w:rFonts w:ascii="Times New Roman" w:hAnsi="Times New Roman" w:cs="Times New Roman"/>
          <w:sz w:val="22"/>
          <w:szCs w:val="22"/>
          <w:lang w:val="ky-KG"/>
        </w:rPr>
        <w:t xml:space="preserve"> </w:t>
      </w:r>
    </w:p>
    <w:p w14:paraId="12D9BB34" w14:textId="77777777" w:rsidR="005A054F" w:rsidRPr="00C04A7D" w:rsidRDefault="005A054F" w:rsidP="005A054F">
      <w:pPr>
        <w:rPr>
          <w:rFonts w:ascii="Times New Roman" w:hAnsi="Times New Roman" w:cs="Times New Roman"/>
          <w:sz w:val="22"/>
          <w:szCs w:val="22"/>
          <w:lang w:val="ky-KG"/>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217"/>
        <w:gridCol w:w="6852"/>
      </w:tblGrid>
      <w:tr w:rsidR="005A054F" w:rsidRPr="00C04A7D" w14:paraId="25693FE1" w14:textId="77777777" w:rsidTr="005330DF">
        <w:tc>
          <w:tcPr>
            <w:tcW w:w="339" w:type="pct"/>
          </w:tcPr>
          <w:p w14:paraId="45EF6F17" w14:textId="77777777" w:rsidR="005A054F" w:rsidRPr="00C04A7D" w:rsidRDefault="005A054F" w:rsidP="005330DF">
            <w:pPr>
              <w:jc w:val="center"/>
              <w:rPr>
                <w:rFonts w:ascii="Times New Roman" w:hAnsi="Times New Roman" w:cs="Times New Roman"/>
                <w:b/>
                <w:sz w:val="22"/>
                <w:szCs w:val="22"/>
              </w:rPr>
            </w:pPr>
            <w:r w:rsidRPr="00C04A7D">
              <w:rPr>
                <w:rFonts w:ascii="Times New Roman" w:hAnsi="Times New Roman" w:cs="Times New Roman"/>
                <w:b/>
                <w:sz w:val="22"/>
                <w:szCs w:val="22"/>
              </w:rPr>
              <w:t>№</w:t>
            </w:r>
          </w:p>
          <w:p w14:paraId="0D859DD9" w14:textId="77777777" w:rsidR="005A054F" w:rsidRPr="00C04A7D" w:rsidRDefault="005A054F" w:rsidP="005330DF">
            <w:pPr>
              <w:jc w:val="center"/>
              <w:rPr>
                <w:rFonts w:ascii="Times New Roman" w:hAnsi="Times New Roman" w:cs="Times New Roman"/>
                <w:b/>
                <w:sz w:val="22"/>
                <w:szCs w:val="22"/>
              </w:rPr>
            </w:pPr>
            <w:r w:rsidRPr="00C04A7D">
              <w:rPr>
                <w:rFonts w:ascii="Times New Roman" w:hAnsi="Times New Roman" w:cs="Times New Roman"/>
                <w:b/>
                <w:sz w:val="22"/>
                <w:szCs w:val="22"/>
              </w:rPr>
              <w:t>п/п</w:t>
            </w:r>
          </w:p>
        </w:tc>
        <w:tc>
          <w:tcPr>
            <w:tcW w:w="1006" w:type="pct"/>
          </w:tcPr>
          <w:p w14:paraId="5A05552A" w14:textId="77777777" w:rsidR="005A054F" w:rsidRPr="00C04A7D" w:rsidRDefault="005A054F" w:rsidP="005330DF">
            <w:pPr>
              <w:jc w:val="center"/>
              <w:rPr>
                <w:rFonts w:ascii="Times New Roman" w:hAnsi="Times New Roman" w:cs="Times New Roman"/>
                <w:b/>
                <w:sz w:val="22"/>
                <w:szCs w:val="22"/>
                <w:lang w:val="ru-RU"/>
              </w:rPr>
            </w:pPr>
            <w:r w:rsidRPr="00C04A7D">
              <w:rPr>
                <w:rFonts w:ascii="Times New Roman" w:hAnsi="Times New Roman" w:cs="Times New Roman"/>
                <w:b/>
                <w:sz w:val="22"/>
                <w:szCs w:val="22"/>
                <w:lang w:val="ru-RU"/>
              </w:rPr>
              <w:t>Перечень основных</w:t>
            </w:r>
          </w:p>
          <w:p w14:paraId="19A1031A" w14:textId="77777777" w:rsidR="005A054F" w:rsidRPr="00C04A7D" w:rsidRDefault="005A054F" w:rsidP="005330DF">
            <w:pPr>
              <w:jc w:val="center"/>
              <w:rPr>
                <w:rFonts w:ascii="Times New Roman" w:hAnsi="Times New Roman" w:cs="Times New Roman"/>
                <w:b/>
                <w:sz w:val="22"/>
                <w:szCs w:val="22"/>
                <w:lang w:val="ru-RU"/>
              </w:rPr>
            </w:pPr>
            <w:r w:rsidRPr="00C04A7D">
              <w:rPr>
                <w:rFonts w:ascii="Times New Roman" w:hAnsi="Times New Roman" w:cs="Times New Roman"/>
                <w:b/>
                <w:sz w:val="22"/>
                <w:szCs w:val="22"/>
                <w:lang w:val="ru-RU"/>
              </w:rPr>
              <w:t>данных и требований</w:t>
            </w:r>
          </w:p>
        </w:tc>
        <w:tc>
          <w:tcPr>
            <w:tcW w:w="3655" w:type="pct"/>
          </w:tcPr>
          <w:p w14:paraId="5100C3ED" w14:textId="77777777" w:rsidR="005A054F" w:rsidRPr="00C04A7D" w:rsidRDefault="005A054F" w:rsidP="005330DF">
            <w:pPr>
              <w:jc w:val="center"/>
              <w:rPr>
                <w:rFonts w:ascii="Times New Roman" w:hAnsi="Times New Roman" w:cs="Times New Roman"/>
                <w:b/>
                <w:sz w:val="22"/>
                <w:szCs w:val="22"/>
              </w:rPr>
            </w:pPr>
            <w:r w:rsidRPr="00C04A7D">
              <w:rPr>
                <w:rFonts w:ascii="Times New Roman" w:hAnsi="Times New Roman" w:cs="Times New Roman"/>
                <w:b/>
                <w:sz w:val="22"/>
                <w:szCs w:val="22"/>
              </w:rPr>
              <w:t>Основные данные и требования</w:t>
            </w:r>
          </w:p>
        </w:tc>
      </w:tr>
      <w:tr w:rsidR="005A054F" w:rsidRPr="001E70DD" w14:paraId="5D3FEAA8" w14:textId="77777777" w:rsidTr="005330DF">
        <w:trPr>
          <w:trHeight w:val="436"/>
        </w:trPr>
        <w:tc>
          <w:tcPr>
            <w:tcW w:w="339" w:type="pct"/>
          </w:tcPr>
          <w:p w14:paraId="51C459FA"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t>1</w:t>
            </w:r>
          </w:p>
        </w:tc>
        <w:tc>
          <w:tcPr>
            <w:tcW w:w="1006" w:type="pct"/>
          </w:tcPr>
          <w:p w14:paraId="74BCB158"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Место расположение объекта.</w:t>
            </w:r>
          </w:p>
        </w:tc>
        <w:tc>
          <w:tcPr>
            <w:tcW w:w="3655" w:type="pct"/>
          </w:tcPr>
          <w:p w14:paraId="05EC81E5" w14:textId="77777777" w:rsidR="005A054F" w:rsidRPr="00C04A7D" w:rsidRDefault="005A054F" w:rsidP="005330DF">
            <w:pPr>
              <w:rPr>
                <w:rFonts w:ascii="Times New Roman" w:hAnsi="Times New Roman" w:cs="Times New Roman"/>
                <w:sz w:val="22"/>
                <w:szCs w:val="22"/>
                <w:lang w:val="ru-RU"/>
              </w:rPr>
            </w:pPr>
            <w:r w:rsidRPr="00C04A7D">
              <w:rPr>
                <w:rFonts w:ascii="Times New Roman" w:hAnsi="Times New Roman" w:cs="Times New Roman"/>
                <w:sz w:val="22"/>
                <w:szCs w:val="22"/>
                <w:lang w:val="ru-RU"/>
              </w:rPr>
              <w:t>Республика Кыргызстан, Иссык-Кульская область, Жети-Огузский район, золоторудное месторождение «Кумтор»</w:t>
            </w:r>
          </w:p>
        </w:tc>
      </w:tr>
      <w:tr w:rsidR="005A054F" w:rsidRPr="00C04A7D" w14:paraId="238F2C75" w14:textId="77777777" w:rsidTr="005330DF">
        <w:tblPrEx>
          <w:tblLook w:val="0000" w:firstRow="0" w:lastRow="0" w:firstColumn="0" w:lastColumn="0" w:noHBand="0" w:noVBand="0"/>
        </w:tblPrEx>
        <w:trPr>
          <w:trHeight w:val="422"/>
        </w:trPr>
        <w:tc>
          <w:tcPr>
            <w:tcW w:w="339" w:type="pct"/>
          </w:tcPr>
          <w:p w14:paraId="781A1F45"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t>2</w:t>
            </w:r>
          </w:p>
        </w:tc>
        <w:tc>
          <w:tcPr>
            <w:tcW w:w="1006" w:type="pct"/>
          </w:tcPr>
          <w:p w14:paraId="1D2E9E05"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Заказчик работ</w:t>
            </w:r>
          </w:p>
        </w:tc>
        <w:tc>
          <w:tcPr>
            <w:tcW w:w="3655" w:type="pct"/>
          </w:tcPr>
          <w:p w14:paraId="2070D459"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ЗАО «Кумтор Голд Компани»</w:t>
            </w:r>
          </w:p>
        </w:tc>
      </w:tr>
      <w:tr w:rsidR="005A054F" w:rsidRPr="00C04A7D" w14:paraId="5704F39D" w14:textId="77777777" w:rsidTr="005330DF">
        <w:tblPrEx>
          <w:tblLook w:val="0000" w:firstRow="0" w:lastRow="0" w:firstColumn="0" w:lastColumn="0" w:noHBand="0" w:noVBand="0"/>
        </w:tblPrEx>
        <w:trPr>
          <w:trHeight w:val="467"/>
        </w:trPr>
        <w:tc>
          <w:tcPr>
            <w:tcW w:w="339" w:type="pct"/>
          </w:tcPr>
          <w:p w14:paraId="46A93AFA"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t>3</w:t>
            </w:r>
          </w:p>
        </w:tc>
        <w:tc>
          <w:tcPr>
            <w:tcW w:w="1006" w:type="pct"/>
          </w:tcPr>
          <w:p w14:paraId="654864AE"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Подрядчик</w:t>
            </w:r>
          </w:p>
        </w:tc>
        <w:tc>
          <w:tcPr>
            <w:tcW w:w="3655" w:type="pct"/>
          </w:tcPr>
          <w:p w14:paraId="254B5B94"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 xml:space="preserve">Назначается </w:t>
            </w:r>
            <w:r w:rsidRPr="00C04A7D">
              <w:rPr>
                <w:rFonts w:ascii="Times New Roman" w:hAnsi="Times New Roman" w:cs="Times New Roman"/>
                <w:sz w:val="22"/>
                <w:szCs w:val="22"/>
                <w:lang w:val="ky-KG"/>
              </w:rPr>
              <w:t>З</w:t>
            </w:r>
            <w:r w:rsidRPr="00C04A7D">
              <w:rPr>
                <w:rFonts w:ascii="Times New Roman" w:hAnsi="Times New Roman" w:cs="Times New Roman"/>
                <w:sz w:val="22"/>
                <w:szCs w:val="22"/>
              </w:rPr>
              <w:t>аказчиком</w:t>
            </w:r>
          </w:p>
        </w:tc>
      </w:tr>
      <w:tr w:rsidR="005A054F" w:rsidRPr="001E70DD" w14:paraId="4910FEA9" w14:textId="77777777" w:rsidTr="005330DF">
        <w:tblPrEx>
          <w:tblLook w:val="0000" w:firstRow="0" w:lastRow="0" w:firstColumn="0" w:lastColumn="0" w:noHBand="0" w:noVBand="0"/>
        </w:tblPrEx>
        <w:trPr>
          <w:trHeight w:val="436"/>
        </w:trPr>
        <w:tc>
          <w:tcPr>
            <w:tcW w:w="339" w:type="pct"/>
          </w:tcPr>
          <w:p w14:paraId="7402A65F"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t>4</w:t>
            </w:r>
          </w:p>
        </w:tc>
        <w:tc>
          <w:tcPr>
            <w:tcW w:w="1006" w:type="pct"/>
          </w:tcPr>
          <w:p w14:paraId="24B590A3" w14:textId="77777777" w:rsidR="005A054F" w:rsidRPr="00C04A7D" w:rsidRDefault="005A054F" w:rsidP="005330DF">
            <w:pPr>
              <w:rPr>
                <w:rFonts w:ascii="Times New Roman" w:hAnsi="Times New Roman" w:cs="Times New Roman"/>
                <w:sz w:val="22"/>
                <w:szCs w:val="22"/>
                <w:lang w:val="ky-KG"/>
              </w:rPr>
            </w:pPr>
            <w:r w:rsidRPr="00C04A7D">
              <w:rPr>
                <w:rFonts w:ascii="Times New Roman" w:hAnsi="Times New Roman" w:cs="Times New Roman"/>
                <w:sz w:val="22"/>
                <w:szCs w:val="22"/>
              </w:rPr>
              <w:t xml:space="preserve">Назначение </w:t>
            </w:r>
            <w:r w:rsidRPr="00C04A7D">
              <w:rPr>
                <w:rFonts w:ascii="Times New Roman" w:hAnsi="Times New Roman" w:cs="Times New Roman"/>
                <w:sz w:val="22"/>
                <w:szCs w:val="22"/>
                <w:lang w:val="ky-KG"/>
              </w:rPr>
              <w:t>объекта</w:t>
            </w:r>
          </w:p>
        </w:tc>
        <w:tc>
          <w:tcPr>
            <w:tcW w:w="3655" w:type="pct"/>
          </w:tcPr>
          <w:p w14:paraId="647A7615" w14:textId="77777777" w:rsidR="005A054F" w:rsidRPr="00C04A7D" w:rsidRDefault="005A054F" w:rsidP="005330DF">
            <w:pPr>
              <w:rPr>
                <w:rFonts w:ascii="Times New Roman" w:hAnsi="Times New Roman" w:cs="Times New Roman"/>
                <w:sz w:val="22"/>
                <w:szCs w:val="22"/>
                <w:lang w:val="ky-KG"/>
              </w:rPr>
            </w:pPr>
            <w:r w:rsidRPr="00C04A7D">
              <w:rPr>
                <w:rFonts w:ascii="Times New Roman" w:hAnsi="Times New Roman" w:cs="Times New Roman"/>
                <w:sz w:val="22"/>
                <w:szCs w:val="22"/>
                <w:lang w:val="ky-KG"/>
              </w:rPr>
              <w:t xml:space="preserve">Разработка проекта </w:t>
            </w:r>
            <w:r w:rsidRPr="00C04A7D">
              <w:rPr>
                <w:rFonts w:ascii="Times New Roman" w:hAnsi="Times New Roman" w:cs="Times New Roman"/>
                <w:sz w:val="22"/>
                <w:szCs w:val="22"/>
                <w:lang w:val="ru-RU"/>
              </w:rPr>
              <w:t>«</w:t>
            </w:r>
            <w:r w:rsidRPr="00C04A7D">
              <w:rPr>
                <w:rFonts w:ascii="Times New Roman" w:hAnsi="Times New Roman" w:cs="Times New Roman"/>
                <w:sz w:val="22"/>
                <w:szCs w:val="22"/>
                <w:lang w:val="ky-KG"/>
              </w:rPr>
              <w:t>Концептуального плана вывода рудника из эксплутации</w:t>
            </w:r>
            <w:r w:rsidRPr="00C04A7D">
              <w:rPr>
                <w:rFonts w:ascii="Times New Roman" w:hAnsi="Times New Roman" w:cs="Times New Roman"/>
                <w:sz w:val="22"/>
                <w:szCs w:val="22"/>
                <w:lang w:val="ru-RU"/>
              </w:rPr>
              <w:t>»</w:t>
            </w:r>
            <w:r w:rsidRPr="00C04A7D">
              <w:rPr>
                <w:rFonts w:ascii="Times New Roman" w:hAnsi="Times New Roman" w:cs="Times New Roman"/>
                <w:sz w:val="22"/>
                <w:szCs w:val="22"/>
                <w:lang w:val="ky-KG"/>
              </w:rPr>
              <w:t xml:space="preserve"> (проект закрытие рудника) </w:t>
            </w:r>
          </w:p>
        </w:tc>
      </w:tr>
      <w:tr w:rsidR="005A054F" w:rsidRPr="001E70DD" w14:paraId="32B31D48" w14:textId="77777777" w:rsidTr="005330DF">
        <w:tblPrEx>
          <w:tblLook w:val="0000" w:firstRow="0" w:lastRow="0" w:firstColumn="0" w:lastColumn="0" w:noHBand="0" w:noVBand="0"/>
        </w:tblPrEx>
        <w:trPr>
          <w:trHeight w:val="571"/>
        </w:trPr>
        <w:tc>
          <w:tcPr>
            <w:tcW w:w="339" w:type="pct"/>
          </w:tcPr>
          <w:p w14:paraId="2C067CFA"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t>5</w:t>
            </w:r>
          </w:p>
        </w:tc>
        <w:tc>
          <w:tcPr>
            <w:tcW w:w="1006" w:type="pct"/>
          </w:tcPr>
          <w:p w14:paraId="0FF545A9" w14:textId="77777777" w:rsidR="005A054F" w:rsidRPr="00C04A7D" w:rsidRDefault="005A054F" w:rsidP="005330DF">
            <w:pPr>
              <w:rPr>
                <w:rFonts w:ascii="Times New Roman" w:hAnsi="Times New Roman" w:cs="Times New Roman"/>
                <w:sz w:val="22"/>
                <w:szCs w:val="22"/>
                <w:lang w:val="ky-KG"/>
              </w:rPr>
            </w:pPr>
            <w:r w:rsidRPr="00C04A7D">
              <w:rPr>
                <w:rFonts w:ascii="Times New Roman" w:hAnsi="Times New Roman" w:cs="Times New Roman"/>
                <w:sz w:val="22"/>
                <w:szCs w:val="22"/>
              </w:rPr>
              <w:t xml:space="preserve">Особые условия </w:t>
            </w:r>
          </w:p>
        </w:tc>
        <w:tc>
          <w:tcPr>
            <w:tcW w:w="3655" w:type="pct"/>
          </w:tcPr>
          <w:p w14:paraId="4F7E18C5" w14:textId="77777777" w:rsidR="005A054F" w:rsidRPr="00C04A7D" w:rsidRDefault="005A054F" w:rsidP="005330DF">
            <w:pPr>
              <w:jc w:val="both"/>
              <w:rPr>
                <w:rFonts w:ascii="Times New Roman" w:hAnsi="Times New Roman" w:cs="Times New Roman"/>
                <w:sz w:val="22"/>
                <w:szCs w:val="22"/>
                <w:lang w:val="ky-KG"/>
              </w:rPr>
            </w:pPr>
            <w:r w:rsidRPr="00C04A7D">
              <w:rPr>
                <w:rFonts w:ascii="Times New Roman" w:hAnsi="Times New Roman" w:cs="Times New Roman"/>
                <w:sz w:val="22"/>
                <w:szCs w:val="22"/>
                <w:lang w:val="ru"/>
              </w:rPr>
              <w:t>Золоторудное месторождение «Кумтор» представляет собой разрабатываемое открытым способом месторождение, расположенное в Иссык-Кульской области Кыргызской Республики (КР), владельцем и оператором которого является компания «Кумтор Голд Компани» (КГК), дочерняя компания ОАО «Кыргыз Алтын». Месторождение находится примерно в 350 км к юго-востоку от столицы Кыргызской Республики, города Бишкек, и в 60 км к северу от границы с Китайской Народной Республикой. Рудник расположен в горах Центрального Тянь-Шаня на высоте 4 000 м над уровнем моря в зоне вечной мерзлоты, частично покрытой ледниками.</w:t>
            </w:r>
          </w:p>
          <w:p w14:paraId="33891622"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Климатические данные:</w:t>
            </w:r>
          </w:p>
          <w:p w14:paraId="2D22E4A7"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rPr>
            </w:pPr>
            <w:r w:rsidRPr="00C04A7D">
              <w:rPr>
                <w:rFonts w:ascii="Times New Roman" w:eastAsia="@Arial Unicode MS" w:hAnsi="Times New Roman" w:cs="Times New Roman"/>
                <w:color w:val="000000"/>
                <w:sz w:val="22"/>
                <w:szCs w:val="22"/>
              </w:rPr>
              <w:t>Зона влажности – сухая;</w:t>
            </w:r>
          </w:p>
          <w:p w14:paraId="2EAAAD64"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rPr>
            </w:pPr>
            <w:r w:rsidRPr="00C04A7D">
              <w:rPr>
                <w:rFonts w:ascii="Times New Roman" w:eastAsia="@Arial Unicode MS" w:hAnsi="Times New Roman" w:cs="Times New Roman"/>
                <w:color w:val="000000"/>
                <w:sz w:val="22"/>
                <w:szCs w:val="22"/>
              </w:rPr>
              <w:t xml:space="preserve">Климатический подрайон – IА;         </w:t>
            </w:r>
          </w:p>
          <w:p w14:paraId="64CA9D2F"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lang w:val="ru-RU"/>
              </w:rPr>
            </w:pPr>
            <w:r w:rsidRPr="00C04A7D">
              <w:rPr>
                <w:rFonts w:ascii="Times New Roman" w:eastAsia="@Arial Unicode MS" w:hAnsi="Times New Roman" w:cs="Times New Roman"/>
                <w:color w:val="000000"/>
                <w:sz w:val="22"/>
                <w:szCs w:val="22"/>
                <w:lang w:val="ru-RU"/>
              </w:rPr>
              <w:t xml:space="preserve">Расчетная средняя температура наиболее холодной пятидневки -30 град.;        </w:t>
            </w:r>
          </w:p>
          <w:p w14:paraId="4BFCF555"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lang w:val="ru-RU"/>
              </w:rPr>
            </w:pPr>
            <w:r w:rsidRPr="00C04A7D">
              <w:rPr>
                <w:rFonts w:ascii="Times New Roman" w:eastAsia="@Arial Unicode MS" w:hAnsi="Times New Roman" w:cs="Times New Roman"/>
                <w:color w:val="000000"/>
                <w:sz w:val="22"/>
                <w:szCs w:val="22"/>
                <w:lang w:val="ru-RU"/>
              </w:rPr>
              <w:t>Расчетная средняя температура наиболее холодных суток -45 град.;</w:t>
            </w:r>
          </w:p>
          <w:p w14:paraId="425C8EE0"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rPr>
            </w:pPr>
            <w:r w:rsidRPr="00C04A7D">
              <w:rPr>
                <w:rFonts w:ascii="Times New Roman" w:eastAsia="@Arial Unicode MS" w:hAnsi="Times New Roman" w:cs="Times New Roman"/>
                <w:color w:val="000000"/>
                <w:sz w:val="22"/>
                <w:szCs w:val="22"/>
                <w:lang w:val="ru-RU"/>
              </w:rPr>
              <w:t xml:space="preserve">Абсолютный максимум температуры воздуха +25 град. </w:t>
            </w:r>
            <w:r w:rsidRPr="00C04A7D">
              <w:rPr>
                <w:rFonts w:ascii="Times New Roman" w:eastAsia="@Arial Unicode MS" w:hAnsi="Times New Roman" w:cs="Times New Roman"/>
                <w:color w:val="000000"/>
                <w:sz w:val="22"/>
                <w:szCs w:val="22"/>
              </w:rPr>
              <w:t>С;</w:t>
            </w:r>
          </w:p>
          <w:p w14:paraId="73E20EC6"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lang w:val="ru-RU"/>
              </w:rPr>
            </w:pPr>
            <w:r w:rsidRPr="00C04A7D">
              <w:rPr>
                <w:rFonts w:ascii="Times New Roman" w:eastAsia="@Arial Unicode MS" w:hAnsi="Times New Roman" w:cs="Times New Roman"/>
                <w:color w:val="000000"/>
                <w:sz w:val="22"/>
                <w:szCs w:val="22"/>
                <w:lang w:val="ru-RU"/>
              </w:rPr>
              <w:t xml:space="preserve">Сейсмичность площадки строительства 9 баллов по шкале </w:t>
            </w:r>
            <w:r w:rsidRPr="00C04A7D">
              <w:rPr>
                <w:rFonts w:ascii="Times New Roman" w:eastAsia="@Arial Unicode MS" w:hAnsi="Times New Roman" w:cs="Times New Roman"/>
                <w:color w:val="000000"/>
                <w:sz w:val="22"/>
                <w:szCs w:val="22"/>
              </w:rPr>
              <w:t>MSK</w:t>
            </w:r>
            <w:r w:rsidRPr="00C04A7D">
              <w:rPr>
                <w:rFonts w:ascii="Times New Roman" w:eastAsia="@Arial Unicode MS" w:hAnsi="Times New Roman" w:cs="Times New Roman"/>
                <w:color w:val="000000"/>
                <w:sz w:val="22"/>
                <w:szCs w:val="22"/>
                <w:lang w:val="ru-RU"/>
              </w:rPr>
              <w:t xml:space="preserve">-64;           </w:t>
            </w:r>
          </w:p>
          <w:p w14:paraId="425DB53F"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lang w:val="ru-RU"/>
              </w:rPr>
            </w:pPr>
            <w:r w:rsidRPr="00C04A7D">
              <w:rPr>
                <w:rFonts w:ascii="Times New Roman" w:eastAsia="@Arial Unicode MS" w:hAnsi="Times New Roman" w:cs="Times New Roman"/>
                <w:color w:val="000000"/>
                <w:sz w:val="22"/>
                <w:szCs w:val="22"/>
                <w:lang w:val="ru-RU"/>
              </w:rPr>
              <w:t xml:space="preserve">Средняя скорость ветра 9 м/сек;            </w:t>
            </w:r>
          </w:p>
          <w:p w14:paraId="1FFEFA58"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lang w:val="ru-RU"/>
              </w:rPr>
            </w:pPr>
            <w:r w:rsidRPr="00C04A7D">
              <w:rPr>
                <w:rFonts w:ascii="Times New Roman" w:eastAsia="@Arial Unicode MS" w:hAnsi="Times New Roman" w:cs="Times New Roman"/>
                <w:color w:val="000000"/>
                <w:sz w:val="22"/>
                <w:szCs w:val="22"/>
                <w:lang w:val="ru-RU"/>
              </w:rPr>
              <w:t>Скорость ветра, возможная 1 раз в 25 лет – 30м/с;</w:t>
            </w:r>
          </w:p>
          <w:p w14:paraId="13D6CE40" w14:textId="77777777" w:rsidR="005A054F" w:rsidRPr="00C04A7D" w:rsidRDefault="005A054F">
            <w:pPr>
              <w:numPr>
                <w:ilvl w:val="0"/>
                <w:numId w:val="11"/>
              </w:numPr>
              <w:autoSpaceDE w:val="0"/>
              <w:autoSpaceDN w:val="0"/>
              <w:adjustRightInd w:val="0"/>
              <w:spacing w:after="0" w:line="240" w:lineRule="auto"/>
              <w:rPr>
                <w:rFonts w:ascii="Times New Roman" w:eastAsia="@Arial Unicode MS" w:hAnsi="Times New Roman" w:cs="Times New Roman"/>
                <w:color w:val="000000"/>
                <w:sz w:val="22"/>
                <w:szCs w:val="22"/>
                <w:lang w:val="ru-RU"/>
              </w:rPr>
            </w:pPr>
            <w:r w:rsidRPr="00C04A7D">
              <w:rPr>
                <w:rFonts w:ascii="Times New Roman" w:eastAsia="@Arial Unicode MS" w:hAnsi="Times New Roman" w:cs="Times New Roman"/>
                <w:color w:val="000000"/>
                <w:sz w:val="22"/>
                <w:szCs w:val="22"/>
                <w:lang w:val="ru-RU"/>
              </w:rPr>
              <w:t xml:space="preserve">Расчётный вес снегового покрова Р=67кгс/м²;  </w:t>
            </w:r>
            <w:r w:rsidRPr="00C04A7D">
              <w:rPr>
                <w:rFonts w:ascii="Times New Roman" w:eastAsia="@Arial Unicode MS" w:hAnsi="Times New Roman" w:cs="Times New Roman"/>
                <w:color w:val="000000"/>
                <w:sz w:val="22"/>
                <w:szCs w:val="22"/>
                <w:lang w:val="ky-KG"/>
              </w:rPr>
              <w:br/>
            </w:r>
          </w:p>
        </w:tc>
      </w:tr>
      <w:tr w:rsidR="005A054F" w:rsidRPr="00C04A7D" w14:paraId="44CFD34E" w14:textId="77777777" w:rsidTr="005330DF">
        <w:tblPrEx>
          <w:tblLook w:val="0000" w:firstRow="0" w:lastRow="0" w:firstColumn="0" w:lastColumn="0" w:noHBand="0" w:noVBand="0"/>
        </w:tblPrEx>
        <w:trPr>
          <w:trHeight w:val="571"/>
        </w:trPr>
        <w:tc>
          <w:tcPr>
            <w:tcW w:w="339" w:type="pct"/>
          </w:tcPr>
          <w:p w14:paraId="1C771732" w14:textId="77777777" w:rsidR="005A054F" w:rsidRPr="00C04A7D" w:rsidRDefault="005A054F" w:rsidP="005330DF">
            <w:pPr>
              <w:jc w:val="center"/>
              <w:rPr>
                <w:rFonts w:ascii="Times New Roman" w:hAnsi="Times New Roman" w:cs="Times New Roman"/>
                <w:sz w:val="22"/>
                <w:szCs w:val="22"/>
                <w:lang w:val="ru-RU"/>
              </w:rPr>
            </w:pPr>
          </w:p>
        </w:tc>
        <w:tc>
          <w:tcPr>
            <w:tcW w:w="1006" w:type="pct"/>
          </w:tcPr>
          <w:p w14:paraId="1FC189F2"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Стадийность проектирования</w:t>
            </w:r>
          </w:p>
        </w:tc>
        <w:tc>
          <w:tcPr>
            <w:tcW w:w="3655" w:type="pct"/>
          </w:tcPr>
          <w:p w14:paraId="5ED5C5E7" w14:textId="77777777" w:rsidR="005A054F" w:rsidRPr="00C04A7D" w:rsidRDefault="005A054F">
            <w:pPr>
              <w:pStyle w:val="a7"/>
              <w:numPr>
                <w:ilvl w:val="0"/>
                <w:numId w:val="30"/>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 xml:space="preserve">Концептуальная стадия </w:t>
            </w:r>
          </w:p>
          <w:p w14:paraId="4A162993" w14:textId="77777777" w:rsidR="005A054F" w:rsidRPr="00C04A7D" w:rsidRDefault="005A054F">
            <w:pPr>
              <w:pStyle w:val="a7"/>
              <w:numPr>
                <w:ilvl w:val="0"/>
                <w:numId w:val="30"/>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Стадия П (Проект)</w:t>
            </w:r>
          </w:p>
          <w:p w14:paraId="4F45D381" w14:textId="77777777" w:rsidR="005A054F" w:rsidRPr="00C04A7D" w:rsidRDefault="005A054F">
            <w:pPr>
              <w:pStyle w:val="a7"/>
              <w:numPr>
                <w:ilvl w:val="0"/>
                <w:numId w:val="30"/>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Стадия Р (Рабочая документация)</w:t>
            </w:r>
          </w:p>
        </w:tc>
      </w:tr>
      <w:tr w:rsidR="005A054F" w:rsidRPr="001E70DD" w14:paraId="3AE9E6D1" w14:textId="77777777" w:rsidTr="005330DF">
        <w:tblPrEx>
          <w:tblLook w:val="0000" w:firstRow="0" w:lastRow="0" w:firstColumn="0" w:lastColumn="0" w:noHBand="0" w:noVBand="0"/>
        </w:tblPrEx>
        <w:trPr>
          <w:trHeight w:val="571"/>
        </w:trPr>
        <w:tc>
          <w:tcPr>
            <w:tcW w:w="339" w:type="pct"/>
          </w:tcPr>
          <w:p w14:paraId="73EA3033"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lastRenderedPageBreak/>
              <w:t>6</w:t>
            </w:r>
          </w:p>
        </w:tc>
        <w:tc>
          <w:tcPr>
            <w:tcW w:w="1006" w:type="pct"/>
          </w:tcPr>
          <w:p w14:paraId="7A47FEB3" w14:textId="77777777" w:rsidR="005A054F" w:rsidRPr="00C04A7D" w:rsidRDefault="005A054F" w:rsidP="005330DF">
            <w:pPr>
              <w:rPr>
                <w:rFonts w:ascii="Times New Roman" w:hAnsi="Times New Roman" w:cs="Times New Roman"/>
                <w:sz w:val="22"/>
                <w:szCs w:val="22"/>
                <w:lang w:val="ru-RU"/>
              </w:rPr>
            </w:pPr>
            <w:r w:rsidRPr="00C04A7D">
              <w:rPr>
                <w:rFonts w:ascii="Times New Roman" w:hAnsi="Times New Roman" w:cs="Times New Roman"/>
                <w:sz w:val="22"/>
                <w:szCs w:val="22"/>
                <w:lang w:val="ru-RU"/>
              </w:rPr>
              <w:t>Требования и общее описание объемов работ</w:t>
            </w:r>
          </w:p>
        </w:tc>
        <w:tc>
          <w:tcPr>
            <w:tcW w:w="3655" w:type="pct"/>
          </w:tcPr>
          <w:p w14:paraId="370301B4" w14:textId="77777777" w:rsidR="005A054F" w:rsidRPr="00C04A7D" w:rsidRDefault="005A054F" w:rsidP="005330DF">
            <w:p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ky-KG"/>
              </w:rPr>
              <w:t>Н</w:t>
            </w:r>
            <w:r w:rsidRPr="00C04A7D">
              <w:rPr>
                <w:rFonts w:ascii="Times New Roman" w:hAnsi="Times New Roman" w:cs="Times New Roman"/>
                <w:sz w:val="22"/>
                <w:szCs w:val="22"/>
                <w:lang w:val="ru"/>
              </w:rPr>
              <w:t>а основании задания Заказчика и в соответствии с действующими нормами и правилами выполнить разработку проектно-сметной документации проекта «Концептуальный план вывода рудника из эксплуатации на 2026 год», которая предусматривает следующее:</w:t>
            </w:r>
          </w:p>
          <w:p w14:paraId="096526CB" w14:textId="77777777" w:rsidR="005A054F" w:rsidRPr="00C04A7D" w:rsidRDefault="005A054F">
            <w:pPr>
              <w:numPr>
                <w:ilvl w:val="0"/>
                <w:numId w:val="1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Максимальное соблюдение требований нормативно-правовых актов;</w:t>
            </w:r>
          </w:p>
          <w:p w14:paraId="088DE967" w14:textId="77777777" w:rsidR="005A054F" w:rsidRPr="00C04A7D" w:rsidRDefault="005A054F">
            <w:pPr>
              <w:numPr>
                <w:ilvl w:val="0"/>
                <w:numId w:val="1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Сведение к минимуму остаточного воздействия на окружающую среду;</w:t>
            </w:r>
          </w:p>
          <w:p w14:paraId="473FDBF9" w14:textId="77777777" w:rsidR="005A054F" w:rsidRPr="00C04A7D" w:rsidRDefault="005A054F">
            <w:pPr>
              <w:numPr>
                <w:ilvl w:val="0"/>
                <w:numId w:val="1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Обеспечение геотехнической стабильности объектов рудника;</w:t>
            </w:r>
          </w:p>
          <w:p w14:paraId="77E6CB33" w14:textId="77777777" w:rsidR="005A054F" w:rsidRPr="00C04A7D" w:rsidRDefault="005A054F">
            <w:pPr>
              <w:numPr>
                <w:ilvl w:val="0"/>
                <w:numId w:val="1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Обеспечение охраны здоровья и безопасности населения;</w:t>
            </w:r>
          </w:p>
          <w:p w14:paraId="6C0E6B5F" w14:textId="77777777" w:rsidR="005A054F" w:rsidRPr="00C04A7D" w:rsidRDefault="005A054F">
            <w:pPr>
              <w:numPr>
                <w:ilvl w:val="0"/>
                <w:numId w:val="1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Восстановление земель до состояния, пригодного и согласованного для землепользования после закрытия рудника;</w:t>
            </w:r>
          </w:p>
          <w:p w14:paraId="003A017E" w14:textId="77777777" w:rsidR="005A054F" w:rsidRPr="00C04A7D" w:rsidRDefault="005A054F">
            <w:pPr>
              <w:numPr>
                <w:ilvl w:val="0"/>
                <w:numId w:val="1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Выявление и снижение социальных рисков/воздействий на местное сообщество, предпринимательскую деятельность и общий успех процесса закрытия рудника.</w:t>
            </w:r>
          </w:p>
          <w:p w14:paraId="4C57FA7E" w14:textId="77777777" w:rsidR="005A054F" w:rsidRPr="00C04A7D" w:rsidRDefault="005A054F">
            <w:pPr>
              <w:pStyle w:val="a7"/>
              <w:numPr>
                <w:ilvl w:val="0"/>
                <w:numId w:val="16"/>
              </w:numPr>
              <w:spacing w:line="259" w:lineRule="auto"/>
              <w:jc w:val="both"/>
              <w:rPr>
                <w:rFonts w:ascii="Times New Roman" w:hAnsi="Times New Roman" w:cs="Times New Roman"/>
                <w:b/>
                <w:bCs/>
                <w:sz w:val="22"/>
                <w:szCs w:val="22"/>
                <w:lang w:val="ky-KG"/>
              </w:rPr>
            </w:pPr>
            <w:r w:rsidRPr="00C04A7D">
              <w:rPr>
                <w:rFonts w:ascii="Times New Roman" w:hAnsi="Times New Roman" w:cs="Times New Roman"/>
                <w:b/>
                <w:bCs/>
                <w:sz w:val="22"/>
                <w:szCs w:val="22"/>
                <w:lang w:val="ky-KG"/>
              </w:rPr>
              <w:t>Объем работ</w:t>
            </w:r>
          </w:p>
          <w:p w14:paraId="663184B2" w14:textId="77777777" w:rsidR="005A054F" w:rsidRPr="00C04A7D" w:rsidRDefault="005A054F" w:rsidP="005330DF">
            <w:pPr>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Концептуальный план вывода рудника из эксплуатации на 2026 год должен учитывать обязательства и стратегии, изложенные в предыдущих редакциях КПВРЭ, текущий план развития рудника, передовую международную отраслевую практику (ПМОП) в отношении планирования вывода рудника из эксплуатации (например, руководящие принципы Всемирного банка, руководящие принципы Международного совета по горному делу и металлам и т.д.) и применимые регулятивные требования, включая законы и иные нормативные акты Кыргызской Республики. Необходимо также рассмотреть ряд рекомендаций, которые были разработаны в результате независимых экспертиз и аудитов существующего процесса планирования вывода рудника из эксплуатации и представленных на сегодняшний день КПВРЭ. </w:t>
            </w:r>
          </w:p>
          <w:p w14:paraId="14BC8F7C" w14:textId="77777777" w:rsidR="005A054F" w:rsidRPr="00C04A7D" w:rsidRDefault="005A054F" w:rsidP="005330DF">
            <w:pPr>
              <w:jc w:val="both"/>
              <w:rPr>
                <w:rFonts w:ascii="Times New Roman" w:hAnsi="Times New Roman" w:cs="Times New Roman"/>
                <w:sz w:val="22"/>
                <w:szCs w:val="22"/>
                <w:lang w:val="ru"/>
              </w:rPr>
            </w:pPr>
            <w:r w:rsidRPr="00C04A7D">
              <w:rPr>
                <w:rFonts w:ascii="Times New Roman" w:hAnsi="Times New Roman" w:cs="Times New Roman"/>
                <w:sz w:val="22"/>
                <w:szCs w:val="22"/>
                <w:lang w:val="ru"/>
              </w:rPr>
              <w:t>В частности, в КПВРЭ на 2026 год должны быть рассмотрены следующие ключевые компоненты:</w:t>
            </w:r>
          </w:p>
          <w:p w14:paraId="20D95453" w14:textId="77777777" w:rsidR="005A054F" w:rsidRPr="00C04A7D" w:rsidRDefault="005A054F" w:rsidP="005330DF">
            <w:pPr>
              <w:jc w:val="both"/>
              <w:rPr>
                <w:rFonts w:ascii="Times New Roman" w:hAnsi="Times New Roman" w:cs="Times New Roman"/>
                <w:sz w:val="22"/>
                <w:szCs w:val="22"/>
                <w:lang w:val="ru-RU"/>
              </w:rPr>
            </w:pPr>
          </w:p>
          <w:p w14:paraId="4C84CA8B" w14:textId="77777777" w:rsidR="005A054F" w:rsidRPr="00C04A7D" w:rsidRDefault="005A054F">
            <w:pPr>
              <w:pStyle w:val="a7"/>
              <w:numPr>
                <w:ilvl w:val="0"/>
                <w:numId w:val="15"/>
              </w:numPr>
              <w:spacing w:line="259" w:lineRule="auto"/>
              <w:jc w:val="both"/>
              <w:rPr>
                <w:rFonts w:ascii="Times New Roman" w:hAnsi="Times New Roman" w:cs="Times New Roman"/>
                <w:sz w:val="22"/>
                <w:szCs w:val="22"/>
              </w:rPr>
            </w:pPr>
            <w:r w:rsidRPr="00C04A7D">
              <w:rPr>
                <w:rFonts w:ascii="Times New Roman" w:hAnsi="Times New Roman" w:cs="Times New Roman"/>
                <w:sz w:val="22"/>
                <w:szCs w:val="22"/>
                <w:lang w:val="ru"/>
              </w:rPr>
              <w:t>Описание существующего производства;</w:t>
            </w:r>
          </w:p>
          <w:p w14:paraId="1D5B20E6"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Определение конечных целей землепользования и критериев успеха;</w:t>
            </w:r>
          </w:p>
          <w:p w14:paraId="4C09C855"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Вывод из эксплуатации ЗИФ и соответствующей инфраструктуры рудника;</w:t>
            </w:r>
          </w:p>
          <w:p w14:paraId="2E57483C"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Вывод из эксплуатации карьеров и моделирование качества карьерной воды;</w:t>
            </w:r>
          </w:p>
          <w:p w14:paraId="657AFA17"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Стабилизация и рекультивация отвалов пустой породы;</w:t>
            </w:r>
          </w:p>
          <w:p w14:paraId="39D92B75"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Вывод из эксплуатации Хвостового хозяйства (ХХ),  Комплекса по переработке лежалых хвостов ЗИФ КГК;</w:t>
            </w:r>
          </w:p>
          <w:p w14:paraId="5B64FEF2"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Вывод из эксплуатации подземной разработки;</w:t>
            </w:r>
          </w:p>
          <w:p w14:paraId="4C9562C7"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lastRenderedPageBreak/>
              <w:t>Прогнозирование качества воды в принимающей среде после вывода рудника из эксплуатации;</w:t>
            </w:r>
          </w:p>
          <w:p w14:paraId="19FB5678"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Смягчение последствий прорыва ледникового озера Петрова (ПЛО);</w:t>
            </w:r>
          </w:p>
          <w:p w14:paraId="5A30FBD4"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Оценка социальных последствий вывода рудника из эксплуатации;</w:t>
            </w:r>
          </w:p>
          <w:p w14:paraId="2439E3BC"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Требования к мониторингу и техническому обслуживанию после вывода рудника из эксплуатации;</w:t>
            </w:r>
          </w:p>
          <w:p w14:paraId="5BE27677"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Детальная смета затрат на вывод рудника из эксплуатации;</w:t>
            </w:r>
          </w:p>
          <w:p w14:paraId="19E7A4E6" w14:textId="77777777" w:rsidR="005A054F" w:rsidRPr="00C04A7D" w:rsidRDefault="005A054F">
            <w:pPr>
              <w:pStyle w:val="a7"/>
              <w:numPr>
                <w:ilvl w:val="0"/>
                <w:numId w:val="1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Требования природоохранного законодательства Кыргызской Республики;</w:t>
            </w:r>
          </w:p>
          <w:p w14:paraId="66ADD415" w14:textId="77777777" w:rsidR="005A054F" w:rsidRPr="00C04A7D" w:rsidRDefault="005A054F">
            <w:pPr>
              <w:pStyle w:val="a7"/>
              <w:numPr>
                <w:ilvl w:val="0"/>
                <w:numId w:val="15"/>
              </w:numPr>
              <w:spacing w:line="259" w:lineRule="auto"/>
              <w:jc w:val="both"/>
              <w:rPr>
                <w:rFonts w:ascii="Times New Roman" w:hAnsi="Times New Roman" w:cs="Times New Roman"/>
                <w:sz w:val="22"/>
                <w:szCs w:val="22"/>
              </w:rPr>
            </w:pPr>
            <w:r w:rsidRPr="00C04A7D">
              <w:rPr>
                <w:rFonts w:ascii="Times New Roman" w:hAnsi="Times New Roman" w:cs="Times New Roman"/>
                <w:sz w:val="22"/>
                <w:szCs w:val="22"/>
              </w:rPr>
              <w:t>Управление отходами;</w:t>
            </w:r>
          </w:p>
          <w:p w14:paraId="35AE233D" w14:textId="77777777" w:rsidR="005A054F" w:rsidRPr="00C04A7D" w:rsidRDefault="005A054F">
            <w:pPr>
              <w:pStyle w:val="a7"/>
              <w:numPr>
                <w:ilvl w:val="0"/>
                <w:numId w:val="15"/>
              </w:numPr>
              <w:spacing w:after="0"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Оценка и управление рисками/возможностями.</w:t>
            </w:r>
          </w:p>
          <w:p w14:paraId="748AAD6E" w14:textId="77777777" w:rsidR="005A054F" w:rsidRPr="00C04A7D" w:rsidRDefault="005A054F" w:rsidP="005330DF">
            <w:pPr>
              <w:pStyle w:val="a7"/>
              <w:rPr>
                <w:rFonts w:ascii="Times New Roman" w:hAnsi="Times New Roman" w:cs="Times New Roman"/>
                <w:sz w:val="22"/>
                <w:szCs w:val="22"/>
                <w:lang w:val="ru-RU"/>
              </w:rPr>
            </w:pPr>
          </w:p>
          <w:p w14:paraId="072C3FBD" w14:textId="77777777" w:rsidR="005A054F" w:rsidRPr="00C04A7D" w:rsidRDefault="005A054F" w:rsidP="005330DF">
            <w:pPr>
              <w:jc w:val="both"/>
              <w:rPr>
                <w:rFonts w:ascii="Times New Roman" w:hAnsi="Times New Roman" w:cs="Times New Roman"/>
                <w:sz w:val="22"/>
                <w:szCs w:val="22"/>
                <w:lang w:val="ru"/>
              </w:rPr>
            </w:pPr>
            <w:r w:rsidRPr="00C04A7D">
              <w:rPr>
                <w:rFonts w:ascii="Times New Roman" w:hAnsi="Times New Roman" w:cs="Times New Roman"/>
                <w:sz w:val="22"/>
                <w:szCs w:val="22"/>
                <w:lang w:val="ru"/>
              </w:rPr>
              <w:t xml:space="preserve">Каждый из этих компонентов более подробно рассматривается ниже. </w:t>
            </w:r>
          </w:p>
          <w:p w14:paraId="4795E2FE" w14:textId="77777777" w:rsidR="005A054F" w:rsidRPr="00C04A7D" w:rsidRDefault="005A054F" w:rsidP="005330DF">
            <w:pPr>
              <w:jc w:val="both"/>
              <w:rPr>
                <w:rFonts w:ascii="Times New Roman" w:hAnsi="Times New Roman" w:cs="Times New Roman"/>
                <w:sz w:val="22"/>
                <w:szCs w:val="22"/>
                <w:lang w:val="ru"/>
              </w:rPr>
            </w:pPr>
          </w:p>
          <w:p w14:paraId="5C31FFFD" w14:textId="77777777" w:rsidR="005A054F" w:rsidRPr="00C04A7D" w:rsidRDefault="005A054F">
            <w:pPr>
              <w:pStyle w:val="a7"/>
              <w:numPr>
                <w:ilvl w:val="1"/>
                <w:numId w:val="16"/>
              </w:numPr>
              <w:spacing w:after="0" w:line="240" w:lineRule="auto"/>
              <w:rPr>
                <w:rFonts w:ascii="Times New Roman" w:hAnsi="Times New Roman" w:cs="Times New Roman"/>
                <w:b/>
                <w:bCs/>
                <w:sz w:val="22"/>
                <w:szCs w:val="22"/>
                <w:lang w:val="ru"/>
              </w:rPr>
            </w:pPr>
            <w:r w:rsidRPr="00C04A7D">
              <w:rPr>
                <w:rFonts w:ascii="Times New Roman" w:hAnsi="Times New Roman" w:cs="Times New Roman"/>
                <w:b/>
                <w:bCs/>
                <w:sz w:val="22"/>
                <w:szCs w:val="22"/>
                <w:lang w:val="ru"/>
              </w:rPr>
              <w:t>Описание существующего производства</w:t>
            </w:r>
          </w:p>
          <w:p w14:paraId="05368553" w14:textId="77777777" w:rsidR="005A054F" w:rsidRPr="00C04A7D" w:rsidRDefault="005A054F" w:rsidP="005330DF">
            <w:pPr>
              <w:pStyle w:val="a7"/>
              <w:rPr>
                <w:rFonts w:ascii="Times New Roman" w:hAnsi="Times New Roman" w:cs="Times New Roman"/>
                <w:b/>
                <w:bCs/>
                <w:sz w:val="22"/>
                <w:szCs w:val="22"/>
                <w:lang w:val="ru"/>
              </w:rPr>
            </w:pPr>
          </w:p>
          <w:p w14:paraId="17A570A9" w14:textId="77777777" w:rsidR="005A054F" w:rsidRPr="00C04A7D" w:rsidRDefault="005A054F" w:rsidP="005330DF">
            <w:pPr>
              <w:spacing w:line="259" w:lineRule="auto"/>
              <w:jc w:val="both"/>
              <w:rPr>
                <w:rFonts w:ascii="Times New Roman" w:hAnsi="Times New Roman" w:cs="Times New Roman"/>
                <w:sz w:val="22"/>
                <w:szCs w:val="22"/>
              </w:rPr>
            </w:pPr>
            <w:r w:rsidRPr="00C04A7D">
              <w:rPr>
                <w:rFonts w:ascii="Times New Roman" w:hAnsi="Times New Roman" w:cs="Times New Roman"/>
                <w:sz w:val="22"/>
                <w:szCs w:val="22"/>
                <w:lang w:val="ru"/>
              </w:rPr>
              <w:t>Описание производства, представленное в КПВРЭ на 2023 год, остается в основном неизменным для текущего плана развития рудника, кроме подземной разработки и переработки лежалых хвостов</w:t>
            </w:r>
            <w:r w:rsidRPr="00C04A7D">
              <w:rPr>
                <w:rFonts w:ascii="Times New Roman" w:hAnsi="Times New Roman" w:cs="Times New Roman"/>
                <w:sz w:val="22"/>
                <w:szCs w:val="22"/>
                <w:lang w:val="ru-RU"/>
              </w:rPr>
              <w:t>,</w:t>
            </w:r>
            <w:r w:rsidRPr="00C04A7D">
              <w:rPr>
                <w:rFonts w:ascii="Times New Roman" w:hAnsi="Times New Roman" w:cs="Times New Roman"/>
                <w:sz w:val="22"/>
                <w:szCs w:val="22"/>
                <w:lang w:val="ru"/>
              </w:rPr>
              <w:t xml:space="preserve"> но потребует пересмотра, чтобы убедиться, что оно отражает текущие условия эксплуатации. Особого внимания требуют следующие области:</w:t>
            </w:r>
          </w:p>
          <w:p w14:paraId="40DFBD04" w14:textId="77777777" w:rsidR="005A054F" w:rsidRPr="00C04A7D" w:rsidRDefault="005A054F">
            <w:pPr>
              <w:numPr>
                <w:ilvl w:val="0"/>
                <w:numId w:val="17"/>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Инфраструктура рудника и модификации парка горной техники;</w:t>
            </w:r>
          </w:p>
          <w:p w14:paraId="62631014" w14:textId="77777777" w:rsidR="005A054F" w:rsidRPr="00C04A7D" w:rsidRDefault="005A054F">
            <w:pPr>
              <w:numPr>
                <w:ilvl w:val="0"/>
                <w:numId w:val="17"/>
              </w:numPr>
              <w:spacing w:line="259" w:lineRule="auto"/>
              <w:contextualSpacing/>
              <w:jc w:val="both"/>
              <w:rPr>
                <w:rFonts w:ascii="Times New Roman" w:hAnsi="Times New Roman" w:cs="Times New Roman"/>
                <w:sz w:val="22"/>
                <w:szCs w:val="22"/>
              </w:rPr>
            </w:pPr>
            <w:r w:rsidRPr="00C04A7D">
              <w:rPr>
                <w:rFonts w:ascii="Times New Roman" w:hAnsi="Times New Roman" w:cs="Times New Roman"/>
                <w:sz w:val="22"/>
                <w:szCs w:val="22"/>
                <w:lang w:val="ru"/>
              </w:rPr>
              <w:t>Геотехнические соображения по отвалам пустой породы, управлению ХХ и ледовой обстановкой;</w:t>
            </w:r>
          </w:p>
          <w:p w14:paraId="0D6CB000" w14:textId="77777777" w:rsidR="005A054F" w:rsidRPr="00C04A7D" w:rsidRDefault="005A054F">
            <w:pPr>
              <w:numPr>
                <w:ilvl w:val="0"/>
                <w:numId w:val="17"/>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Управление водными ресурсами и, в частности, управление карьерными водами и управление потоками, связанными с отвалами пустой породы; </w:t>
            </w:r>
          </w:p>
          <w:p w14:paraId="1DA8B696" w14:textId="77777777" w:rsidR="005A054F" w:rsidRPr="00C04A7D" w:rsidRDefault="005A054F">
            <w:pPr>
              <w:numPr>
                <w:ilvl w:val="0"/>
                <w:numId w:val="17"/>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Управление отходами производства и потребления, опасными отходами.</w:t>
            </w:r>
          </w:p>
          <w:p w14:paraId="6C715003" w14:textId="77777777" w:rsidR="005A054F" w:rsidRPr="00C04A7D" w:rsidRDefault="005A054F" w:rsidP="005330DF">
            <w:pPr>
              <w:jc w:val="both"/>
              <w:rPr>
                <w:rFonts w:ascii="Times New Roman" w:hAnsi="Times New Roman" w:cs="Times New Roman"/>
                <w:sz w:val="22"/>
                <w:szCs w:val="22"/>
                <w:lang w:val="ru-RU"/>
              </w:rPr>
            </w:pPr>
          </w:p>
          <w:p w14:paraId="521773C8" w14:textId="77777777" w:rsidR="005A054F" w:rsidRPr="00C04A7D" w:rsidRDefault="005A054F">
            <w:pPr>
              <w:pStyle w:val="a7"/>
              <w:numPr>
                <w:ilvl w:val="1"/>
                <w:numId w:val="16"/>
              </w:numPr>
              <w:spacing w:after="0" w:line="240" w:lineRule="auto"/>
              <w:jc w:val="both"/>
              <w:rPr>
                <w:rFonts w:ascii="Times New Roman" w:hAnsi="Times New Roman" w:cs="Times New Roman"/>
                <w:b/>
                <w:sz w:val="22"/>
                <w:szCs w:val="22"/>
                <w:lang w:val="ru-RU"/>
              </w:rPr>
            </w:pPr>
            <w:r w:rsidRPr="00C04A7D">
              <w:rPr>
                <w:rFonts w:ascii="Times New Roman" w:hAnsi="Times New Roman" w:cs="Times New Roman"/>
                <w:b/>
                <w:sz w:val="22"/>
                <w:szCs w:val="22"/>
                <w:lang w:val="ru"/>
              </w:rPr>
              <w:t>Определение конечных целей землепользования и критериев завершения</w:t>
            </w:r>
          </w:p>
          <w:p w14:paraId="68C1A0B0" w14:textId="77777777" w:rsidR="005A054F" w:rsidRPr="00C04A7D" w:rsidRDefault="005A054F" w:rsidP="005330DF">
            <w:pPr>
              <w:pStyle w:val="a7"/>
              <w:jc w:val="both"/>
              <w:rPr>
                <w:rFonts w:ascii="Times New Roman" w:hAnsi="Times New Roman" w:cs="Times New Roman"/>
                <w:b/>
                <w:sz w:val="22"/>
                <w:szCs w:val="22"/>
                <w:lang w:val="ru-RU"/>
              </w:rPr>
            </w:pPr>
          </w:p>
          <w:p w14:paraId="673E6264" w14:textId="77777777" w:rsidR="005A054F" w:rsidRPr="00C04A7D" w:rsidRDefault="005A054F" w:rsidP="005330DF">
            <w:pPr>
              <w:jc w:val="both"/>
              <w:rPr>
                <w:rFonts w:ascii="Times New Roman" w:hAnsi="Times New Roman" w:cs="Times New Roman"/>
                <w:sz w:val="22"/>
                <w:szCs w:val="22"/>
                <w:lang w:val="ru-RU"/>
              </w:rPr>
            </w:pPr>
            <w:r w:rsidRPr="00C04A7D">
              <w:rPr>
                <w:rFonts w:ascii="Times New Roman" w:hAnsi="Times New Roman" w:cs="Times New Roman"/>
                <w:sz w:val="22"/>
                <w:szCs w:val="22"/>
                <w:lang w:val="ky-KG"/>
              </w:rPr>
              <w:t>Д</w:t>
            </w:r>
            <w:r w:rsidRPr="00C04A7D">
              <w:rPr>
                <w:rFonts w:ascii="Times New Roman" w:hAnsi="Times New Roman" w:cs="Times New Roman"/>
                <w:sz w:val="22"/>
                <w:szCs w:val="22"/>
                <w:lang w:val="ru"/>
              </w:rPr>
              <w:t xml:space="preserve">ля КПВРЭ на 2026 год требуется дальнейшая работа по разработке конкретных конечных целей землепользования и критериев успеха для каждого из ключевых доменов/нарушенных участков на руднике. Это будет иметь решающее значение для обеспечения разработки надлежащих стратегий рекультивации и мониторинга на раннем этапе, особенно учитывая суровые климатические условия КГК, короткий вегетационный период и потенциально ограниченные запасы верхнего плодородного слоя почвы. КГК стремится внести свой вклад в защиту </w:t>
            </w:r>
            <w:r w:rsidRPr="00C04A7D">
              <w:rPr>
                <w:rFonts w:ascii="Times New Roman" w:hAnsi="Times New Roman" w:cs="Times New Roman"/>
                <w:sz w:val="22"/>
                <w:szCs w:val="22"/>
                <w:lang w:val="ru"/>
              </w:rPr>
              <w:lastRenderedPageBreak/>
              <w:t xml:space="preserve">и сохранение биоразнообразия в регионе, включая применение комплексных подходов к планированию землепользования на протяжении всего жизненного цикла горных работ. </w:t>
            </w:r>
          </w:p>
          <w:p w14:paraId="5F518A17" w14:textId="77777777" w:rsidR="005A054F" w:rsidRPr="00C04A7D" w:rsidRDefault="005A054F" w:rsidP="005330DF">
            <w:pPr>
              <w:ind w:firstLine="720"/>
              <w:jc w:val="both"/>
              <w:rPr>
                <w:rFonts w:ascii="Times New Roman" w:hAnsi="Times New Roman" w:cs="Times New Roman"/>
                <w:sz w:val="22"/>
                <w:szCs w:val="22"/>
                <w:lang w:val="ru"/>
              </w:rPr>
            </w:pPr>
            <w:r w:rsidRPr="00C04A7D">
              <w:rPr>
                <w:rFonts w:ascii="Times New Roman" w:hAnsi="Times New Roman" w:cs="Times New Roman"/>
                <w:sz w:val="22"/>
                <w:szCs w:val="22"/>
                <w:lang w:val="ru"/>
              </w:rPr>
              <w:t xml:space="preserve">На сегодняшний день были проведены лишь предварительная коммуникация и взаимодействие с местными сообществами и другими заинтересованными сторонами относительно целей закрытия КГК (включая социально-экономические цели), конечного землепользования и критериев успеха. Для подготовки КПВРЭ на 2026 год важно обеспечить адекватное (и документированное) взаимодействие с заинтересованными сторонами, чтобы гарантировать полный учет интересов затронутых сообществ и ключевых заинтересованных сторон в окончательном плане вывода рудника из эксплуатации. Требования к оценке социальных последствий вывода рудника из эксплуатации рассматриваются далее в разделе 1.10 ниже. </w:t>
            </w:r>
          </w:p>
          <w:p w14:paraId="562B868C" w14:textId="77777777" w:rsidR="005A054F" w:rsidRPr="00C04A7D" w:rsidRDefault="005A054F" w:rsidP="005330DF">
            <w:pPr>
              <w:ind w:firstLine="720"/>
              <w:jc w:val="both"/>
              <w:rPr>
                <w:rFonts w:ascii="Times New Roman" w:hAnsi="Times New Roman" w:cs="Times New Roman"/>
                <w:sz w:val="22"/>
                <w:szCs w:val="22"/>
                <w:lang w:val="ru"/>
              </w:rPr>
            </w:pPr>
          </w:p>
          <w:p w14:paraId="5ED57BCE" w14:textId="77777777" w:rsidR="005A054F" w:rsidRPr="00C04A7D" w:rsidRDefault="005A054F">
            <w:pPr>
              <w:pStyle w:val="a7"/>
              <w:numPr>
                <w:ilvl w:val="1"/>
                <w:numId w:val="16"/>
              </w:numPr>
              <w:spacing w:after="0" w:line="240"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t>Вывод из эксплуатации ЗИФ и соответствующей инфраструктуры рудника</w:t>
            </w:r>
          </w:p>
          <w:p w14:paraId="3EFB6A99" w14:textId="77777777" w:rsidR="005A054F" w:rsidRPr="00C04A7D" w:rsidRDefault="005A054F" w:rsidP="005330DF">
            <w:pPr>
              <w:pStyle w:val="a7"/>
              <w:jc w:val="both"/>
              <w:rPr>
                <w:rFonts w:ascii="Times New Roman" w:hAnsi="Times New Roman" w:cs="Times New Roman"/>
                <w:b/>
                <w:sz w:val="22"/>
                <w:szCs w:val="22"/>
                <w:lang w:val="ru"/>
              </w:rPr>
            </w:pPr>
          </w:p>
          <w:p w14:paraId="4E35447A" w14:textId="77777777" w:rsidR="005A054F" w:rsidRPr="00C04A7D" w:rsidRDefault="005A054F" w:rsidP="005330DF">
            <w:pPr>
              <w:spacing w:line="259" w:lineRule="auto"/>
              <w:ind w:firstLine="720"/>
              <w:jc w:val="both"/>
              <w:rPr>
                <w:rFonts w:ascii="Times New Roman" w:hAnsi="Times New Roman" w:cs="Times New Roman"/>
                <w:sz w:val="22"/>
                <w:szCs w:val="22"/>
                <w:lang w:val="ru"/>
              </w:rPr>
            </w:pPr>
            <w:r w:rsidRPr="00C04A7D">
              <w:rPr>
                <w:rFonts w:ascii="Times New Roman" w:hAnsi="Times New Roman" w:cs="Times New Roman"/>
                <w:sz w:val="22"/>
                <w:szCs w:val="22"/>
                <w:lang w:val="ru"/>
              </w:rPr>
              <w:t>При выводе рудника из эксплуатации необходимо будет вывести из эксплуатации ЗИФ и соответствующую инфраструктуру рудника и демобилизовать их с территории рудника в соответствии с обновленными конечными целями землепользования. Кроме того, необходимо учитывать требования по выводу из эксплуатации, содержащиеся в Международном кодексе управления цианидами - Стандартная практика № 5, которая относится к оборудованию, загрязненному цианидами.</w:t>
            </w:r>
          </w:p>
          <w:p w14:paraId="6C90CE70" w14:textId="77777777" w:rsidR="005A054F" w:rsidRPr="00C04A7D" w:rsidRDefault="005A054F">
            <w:pPr>
              <w:pStyle w:val="a7"/>
              <w:numPr>
                <w:ilvl w:val="1"/>
                <w:numId w:val="16"/>
              </w:numPr>
              <w:spacing w:line="259"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t>Вывод из эксплуатации открытых карьеров</w:t>
            </w:r>
          </w:p>
          <w:p w14:paraId="0A4CA1E4" w14:textId="77777777" w:rsidR="005A054F" w:rsidRPr="00C04A7D" w:rsidRDefault="005A054F" w:rsidP="005330DF">
            <w:pPr>
              <w:spacing w:line="259" w:lineRule="auto"/>
              <w:ind w:firstLine="720"/>
              <w:jc w:val="both"/>
              <w:rPr>
                <w:rFonts w:ascii="Times New Roman" w:hAnsi="Times New Roman" w:cs="Times New Roman"/>
                <w:sz w:val="22"/>
                <w:szCs w:val="22"/>
                <w:lang w:val="ru"/>
              </w:rPr>
            </w:pPr>
            <w:r w:rsidRPr="00C04A7D">
              <w:rPr>
                <w:rFonts w:ascii="Times New Roman" w:hAnsi="Times New Roman" w:cs="Times New Roman"/>
                <w:sz w:val="22"/>
                <w:szCs w:val="22"/>
                <w:lang w:val="ru"/>
              </w:rPr>
              <w:t>После вывода рудника из эксплуатации останутся два горных карьера/пустоты, которые будут пересекать местные ледники и в итоге заполнятся, и переполнятся водой, и далее создадут угрозу потенциального взаимодействия воды с расположенными ниже по течению отвалами пустой породы перед сбросом в реку Кумтор. Чтобы понять эти потенциальные последствия, для Центрального карьера в рамках КПВРЭ на 2023 год была разработана концептуальная модель карьерного озера, сочетающая физическую гидродинамику с геохимическим моделированием и прогнозирующая долгосрочную физическую и химическую эволюцию водной толщи карьерного озера от начального периода заполнения до долгосрочных стационарных условий. Эта модель карьера должна быть пересмотрена и обновлена на основе текущего плана развития рудника, включая прогноз объема и химического состава воды, вытекающей из карьерного озера.</w:t>
            </w:r>
          </w:p>
          <w:p w14:paraId="38EB5D67" w14:textId="77777777" w:rsidR="005A054F" w:rsidRPr="00C04A7D" w:rsidRDefault="005A054F">
            <w:pPr>
              <w:pStyle w:val="a7"/>
              <w:numPr>
                <w:ilvl w:val="1"/>
                <w:numId w:val="16"/>
              </w:numPr>
              <w:spacing w:after="0" w:line="240"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t>Отвалы пустой породы</w:t>
            </w:r>
          </w:p>
          <w:p w14:paraId="386B0D63" w14:textId="77777777" w:rsidR="005A054F" w:rsidRPr="00C04A7D" w:rsidRDefault="005A054F" w:rsidP="005330DF">
            <w:pPr>
              <w:pStyle w:val="a7"/>
              <w:jc w:val="both"/>
              <w:rPr>
                <w:rFonts w:ascii="Times New Roman" w:hAnsi="Times New Roman" w:cs="Times New Roman"/>
                <w:b/>
                <w:sz w:val="22"/>
                <w:szCs w:val="22"/>
                <w:lang w:val="ru"/>
              </w:rPr>
            </w:pPr>
          </w:p>
          <w:p w14:paraId="7DED680D" w14:textId="77777777" w:rsidR="005A054F" w:rsidRPr="00C04A7D" w:rsidRDefault="005A054F" w:rsidP="005330DF">
            <w:pPr>
              <w:jc w:val="both"/>
              <w:rPr>
                <w:rFonts w:ascii="Times New Roman" w:hAnsi="Times New Roman" w:cs="Times New Roman"/>
                <w:sz w:val="22"/>
                <w:szCs w:val="22"/>
                <w:lang w:val="ru"/>
              </w:rPr>
            </w:pPr>
            <w:r w:rsidRPr="00C04A7D">
              <w:rPr>
                <w:rFonts w:ascii="Times New Roman" w:hAnsi="Times New Roman" w:cs="Times New Roman"/>
                <w:sz w:val="22"/>
                <w:szCs w:val="22"/>
                <w:lang w:val="ru"/>
              </w:rPr>
              <w:lastRenderedPageBreak/>
              <w:t xml:space="preserve">Ключевой частью КПВРЭ на 2026 год будет предлагаемая стратегия стабилизации и рекультивации отвалов пустой породы после вывода рудника из эксплуатации. Это включает в себя рассмотрение геохимической устойчивости (т. е. дренаж кислых пород и выщелачивание металлов) плюс физическая устойчивость. С момента первоначальной оценки воздействия на окружающую среду Кумтор осуществляет регулярный мониторинг риска образования кислых стоков с учетом рудного тела, пустой породы и хвостов. Исходя из ряда независимых оценок, проведенных международными консультантами, был сделан вывод о том, что риск образования кислых стоков на Кумторе низкий из-за высокого содержания карбонатов в отложениях, которые нейтрализуют кислотность. Кроме того, был проведен значительный объем работ по геотехническому моделированию движения отвалов, и Консультанту, разрабатывающему КПВРЭ, необходимо будет работать с внутренними специалистами КГК по геотехническим вопросам и внешними консультантами по инженерно-техническим вопросам, чтобы обеспечить адекватное рассмотрение этих вопросов в КПВРЭ на 2026 год. </w:t>
            </w:r>
          </w:p>
          <w:p w14:paraId="17BDB9CE" w14:textId="77777777" w:rsidR="005A054F" w:rsidRPr="00C04A7D" w:rsidRDefault="005A054F" w:rsidP="005330DF">
            <w:pPr>
              <w:jc w:val="both"/>
              <w:rPr>
                <w:rFonts w:ascii="Times New Roman" w:hAnsi="Times New Roman" w:cs="Times New Roman"/>
                <w:sz w:val="22"/>
                <w:szCs w:val="22"/>
                <w:lang w:val="ru"/>
              </w:rPr>
            </w:pPr>
          </w:p>
          <w:p w14:paraId="648DC9B5" w14:textId="77777777" w:rsidR="005A054F" w:rsidRPr="00C04A7D" w:rsidRDefault="005A054F">
            <w:pPr>
              <w:pStyle w:val="a7"/>
              <w:numPr>
                <w:ilvl w:val="1"/>
                <w:numId w:val="16"/>
              </w:numPr>
              <w:spacing w:after="0" w:line="240" w:lineRule="auto"/>
              <w:rPr>
                <w:rFonts w:ascii="Times New Roman" w:hAnsi="Times New Roman" w:cs="Times New Roman"/>
                <w:b/>
                <w:sz w:val="22"/>
                <w:szCs w:val="22"/>
                <w:lang w:val="ru"/>
              </w:rPr>
            </w:pPr>
            <w:r w:rsidRPr="00C04A7D">
              <w:rPr>
                <w:rFonts w:ascii="Times New Roman" w:hAnsi="Times New Roman" w:cs="Times New Roman"/>
                <w:b/>
                <w:sz w:val="22"/>
                <w:szCs w:val="22"/>
                <w:lang w:val="ru"/>
              </w:rPr>
              <w:t>Хвостовое хозяйство (ХХ)</w:t>
            </w:r>
          </w:p>
          <w:p w14:paraId="2E801599" w14:textId="77777777" w:rsidR="005A054F" w:rsidRPr="00C04A7D" w:rsidRDefault="005A054F" w:rsidP="005330DF">
            <w:pPr>
              <w:pStyle w:val="a7"/>
              <w:rPr>
                <w:rFonts w:ascii="Times New Roman" w:hAnsi="Times New Roman" w:cs="Times New Roman"/>
                <w:b/>
                <w:sz w:val="22"/>
                <w:szCs w:val="22"/>
              </w:rPr>
            </w:pPr>
          </w:p>
          <w:p w14:paraId="02C95731" w14:textId="77777777" w:rsidR="005A054F" w:rsidRPr="00C04A7D" w:rsidRDefault="005A054F" w:rsidP="005330DF">
            <w:pPr>
              <w:ind w:firstLine="720"/>
              <w:jc w:val="both"/>
              <w:rPr>
                <w:rFonts w:ascii="Times New Roman" w:hAnsi="Times New Roman" w:cs="Times New Roman"/>
                <w:sz w:val="22"/>
                <w:szCs w:val="22"/>
                <w:lang w:val="ru"/>
              </w:rPr>
            </w:pPr>
            <w:r w:rsidRPr="00C04A7D">
              <w:rPr>
                <w:rFonts w:ascii="Times New Roman" w:hAnsi="Times New Roman" w:cs="Times New Roman"/>
                <w:sz w:val="22"/>
                <w:szCs w:val="22"/>
                <w:lang w:val="ru"/>
              </w:rPr>
              <w:t>Планирование вывода из эксплуатации хвостового хозяйства (ХХ) до настоящего времени фокусировалось на управлении водными ресурсами и обеспечении отсутствия риска дренажа кислых стоков из ХХ после вывода из эксплуатации. Исходя из геохимической характеристики хвостов Кумтора, риск потенциального возникновения дренажа кислых стоков в ХХ практически отсутствует, и на сегодняшний день для дополнительной профилактики и контроля образования кислых стоков не требуется никаких специальных мер по выводу из эксплуатации. Дальнейшая подробная информация о текущей предлагаемой стратегии рекультивации ХХ представлена в КПВРЭ на 2023 год. Также необходимо будет уделить внимание системам отвода поверхностных вод вокруг ХХ, чтобы обеспечить их стабильность на период после вывода рудника из эксплуатации.</w:t>
            </w:r>
          </w:p>
          <w:p w14:paraId="0122A6A8" w14:textId="77777777" w:rsidR="005A054F" w:rsidRPr="00C04A7D" w:rsidRDefault="005A054F" w:rsidP="005330DF">
            <w:pPr>
              <w:pStyle w:val="af"/>
              <w:tabs>
                <w:tab w:val="left" w:pos="851"/>
              </w:tabs>
              <w:spacing w:after="0"/>
              <w:ind w:firstLine="709"/>
              <w:jc w:val="both"/>
              <w:rPr>
                <w:bCs/>
                <w:sz w:val="22"/>
                <w:szCs w:val="22"/>
                <w:lang w:val="ru-RU"/>
              </w:rPr>
            </w:pPr>
            <w:r w:rsidRPr="00C04A7D">
              <w:rPr>
                <w:sz w:val="22"/>
                <w:szCs w:val="22"/>
                <w:lang w:val="ru"/>
              </w:rPr>
              <w:t xml:space="preserve">Также, согласно предварительной оценке воздействия на окружающую среду к Технико-экономическому обоснованию проекта «Комплекс по переработке лежалых хвостов ЗИФ КГК» необходимо изучить внести соответствующие изменения и дополнения в проекте вывода из эксплуатации хвостового хозяйства.  </w:t>
            </w:r>
            <w:r w:rsidRPr="00C04A7D">
              <w:rPr>
                <w:bCs/>
                <w:sz w:val="22"/>
                <w:szCs w:val="22"/>
                <w:lang w:val="ru-RU"/>
              </w:rPr>
              <w:t xml:space="preserve">План эксплуатации Комплекса по переработке лежалых хвостов, включая перегрузочное хвостохранилище предусматривает завершение деятельности в 2043 году. </w:t>
            </w:r>
          </w:p>
          <w:p w14:paraId="296022D2" w14:textId="77777777" w:rsidR="005A054F" w:rsidRPr="00C04A7D" w:rsidRDefault="005A054F" w:rsidP="005330DF">
            <w:pPr>
              <w:pStyle w:val="af"/>
              <w:tabs>
                <w:tab w:val="left" w:pos="851"/>
              </w:tabs>
              <w:spacing w:after="0"/>
              <w:ind w:firstLine="709"/>
              <w:jc w:val="both"/>
              <w:rPr>
                <w:bCs/>
                <w:sz w:val="22"/>
                <w:szCs w:val="22"/>
                <w:lang w:val="ru-RU"/>
              </w:rPr>
            </w:pPr>
            <w:r w:rsidRPr="00C04A7D">
              <w:rPr>
                <w:bCs/>
                <w:sz w:val="22"/>
                <w:szCs w:val="22"/>
                <w:lang w:val="ru-RU"/>
              </w:rPr>
              <w:lastRenderedPageBreak/>
              <w:t>После ввода в действие Комплекса по переработке лежалых хвостов Концептуальный план по выводу рудника из эксплуатации должен быть обновлен.</w:t>
            </w:r>
          </w:p>
          <w:p w14:paraId="6824AE11" w14:textId="77777777" w:rsidR="005A054F" w:rsidRPr="00C04A7D" w:rsidRDefault="005A054F" w:rsidP="005330DF">
            <w:pPr>
              <w:pStyle w:val="af"/>
              <w:tabs>
                <w:tab w:val="left" w:pos="851"/>
              </w:tabs>
              <w:spacing w:after="0"/>
              <w:ind w:firstLine="709"/>
              <w:jc w:val="both"/>
              <w:rPr>
                <w:bCs/>
                <w:sz w:val="22"/>
                <w:szCs w:val="22"/>
                <w:lang w:val="ky-KG"/>
              </w:rPr>
            </w:pPr>
            <w:r w:rsidRPr="00C04A7D">
              <w:rPr>
                <w:bCs/>
                <w:sz w:val="22"/>
                <w:szCs w:val="22"/>
                <w:lang w:val="ru-RU"/>
              </w:rPr>
              <w:t>Задачи, которые стоят перед компанией по выводу рудника из эксплуатации и землепользованию: максимальное соблюдение нормативных требований; минимизация остаточного воздействия на окружающую среду; обеспечение геотехнической стабильности объектов рудника; обеспечение охраны здоровья и безопасности населения; восстановление земель до состояния, пригодного для землепользования после закрытия рудника; выявление и снижение социальных рисков/воздействий.</w:t>
            </w:r>
          </w:p>
          <w:p w14:paraId="6236C2CA" w14:textId="77777777" w:rsidR="005A054F" w:rsidRPr="00C04A7D" w:rsidRDefault="005A054F" w:rsidP="005330DF">
            <w:pPr>
              <w:pStyle w:val="af"/>
              <w:tabs>
                <w:tab w:val="left" w:pos="851"/>
              </w:tabs>
              <w:spacing w:after="0"/>
              <w:ind w:firstLine="709"/>
              <w:jc w:val="both"/>
              <w:rPr>
                <w:bCs/>
                <w:sz w:val="22"/>
                <w:szCs w:val="22"/>
                <w:lang w:val="ky-KG"/>
              </w:rPr>
            </w:pPr>
          </w:p>
          <w:p w14:paraId="69DBA43C" w14:textId="77777777" w:rsidR="005A054F" w:rsidRPr="00C04A7D" w:rsidRDefault="005A054F" w:rsidP="005330DF">
            <w:pPr>
              <w:jc w:val="both"/>
              <w:rPr>
                <w:rFonts w:ascii="Times New Roman" w:hAnsi="Times New Roman" w:cs="Times New Roman"/>
                <w:sz w:val="22"/>
                <w:szCs w:val="22"/>
                <w:lang w:val="ky-KG"/>
              </w:rPr>
            </w:pPr>
          </w:p>
          <w:p w14:paraId="2A387E5F" w14:textId="77777777" w:rsidR="005A054F" w:rsidRPr="00C04A7D" w:rsidRDefault="005A054F">
            <w:pPr>
              <w:pStyle w:val="a7"/>
              <w:numPr>
                <w:ilvl w:val="1"/>
                <w:numId w:val="16"/>
              </w:numPr>
              <w:spacing w:after="0" w:line="240" w:lineRule="auto"/>
              <w:jc w:val="both"/>
              <w:rPr>
                <w:rFonts w:ascii="Times New Roman" w:hAnsi="Times New Roman" w:cs="Times New Roman"/>
                <w:b/>
                <w:bCs/>
                <w:sz w:val="22"/>
                <w:szCs w:val="22"/>
                <w:lang w:val="ky-KG"/>
              </w:rPr>
            </w:pPr>
            <w:r w:rsidRPr="00C04A7D">
              <w:rPr>
                <w:rFonts w:ascii="Times New Roman" w:hAnsi="Times New Roman" w:cs="Times New Roman"/>
                <w:b/>
                <w:bCs/>
                <w:sz w:val="22"/>
                <w:szCs w:val="22"/>
                <w:lang w:val="ky-KG"/>
              </w:rPr>
              <w:t>Подземная разработка</w:t>
            </w:r>
          </w:p>
          <w:p w14:paraId="5454BD8E" w14:textId="77777777" w:rsidR="005A054F" w:rsidRPr="00C04A7D" w:rsidRDefault="005A054F" w:rsidP="005330DF">
            <w:pPr>
              <w:pStyle w:val="a7"/>
              <w:jc w:val="both"/>
              <w:rPr>
                <w:rFonts w:ascii="Times New Roman" w:hAnsi="Times New Roman" w:cs="Times New Roman"/>
                <w:b/>
                <w:bCs/>
                <w:sz w:val="22"/>
                <w:szCs w:val="22"/>
                <w:lang w:val="ky-KG"/>
              </w:rPr>
            </w:pPr>
          </w:p>
          <w:p w14:paraId="51F8CF85" w14:textId="77777777" w:rsidR="005A054F" w:rsidRPr="00C04A7D" w:rsidRDefault="005A054F" w:rsidP="005330DF">
            <w:pPr>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Разработка запасов за пределами карьера представляет собой переход от существующего долгосрочного проекта по добыче золота открытым способом к подземной добыче. Таким образом, базовым уровнем, по которому оценивается воздействие на окружающую среду предлагаемого подземного расширения, является текущая добыча полезных ископаемых в существующей, модифицированной среде. В связи с изолированным расположением рудника Кумтор, удаленным от районов проживания людей, и обширной площадью существующих открытых разработок, вероятность того, что предлагаемые подземные работы приведут к значительному дополнительному воздействию на окружающую среду, ограничена. Закрытие объекта является сложной задачей из-за текущего оседания и миграции отвалов пустой породы вниз по долине. Однако предлагаемые подземные работы не будут генерировать большие или какие-либо объемы пустой породы, требующие постоянного размещения над землей, и поэтому не усугубят эту проблему. Ожидается, что продление срока эксплуатации рудника за счет разработки запасов за пределами карьера будет иметь очень положительные социальные и экономические последствия. К этим положительным последствиям относятся постоянная занятость и возможности для бизнеса, продолжение программ по работе с местным населением и общий вклад рудника в экономику Кыргызстана.</w:t>
            </w:r>
          </w:p>
          <w:p w14:paraId="513E007A" w14:textId="77777777" w:rsidR="005A054F" w:rsidRPr="00C04A7D" w:rsidRDefault="005A054F" w:rsidP="005330DF">
            <w:pPr>
              <w:jc w:val="both"/>
              <w:rPr>
                <w:rFonts w:ascii="Times New Roman" w:hAnsi="Times New Roman" w:cs="Times New Roman"/>
                <w:sz w:val="22"/>
                <w:szCs w:val="22"/>
                <w:lang w:val="ky-KG"/>
              </w:rPr>
            </w:pPr>
          </w:p>
          <w:p w14:paraId="52A51605" w14:textId="77777777" w:rsidR="005A054F" w:rsidRPr="00C04A7D" w:rsidRDefault="005A054F">
            <w:pPr>
              <w:pStyle w:val="a7"/>
              <w:numPr>
                <w:ilvl w:val="1"/>
                <w:numId w:val="16"/>
              </w:numPr>
              <w:spacing w:after="0" w:line="240"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t xml:space="preserve">Прогнозы качества воды после вывода рудника из эксплуатации </w:t>
            </w:r>
          </w:p>
          <w:p w14:paraId="224AA585" w14:textId="77777777" w:rsidR="005A054F" w:rsidRPr="00C04A7D" w:rsidRDefault="005A054F" w:rsidP="005330DF">
            <w:pPr>
              <w:jc w:val="both"/>
              <w:rPr>
                <w:rFonts w:ascii="Times New Roman" w:hAnsi="Times New Roman" w:cs="Times New Roman"/>
                <w:b/>
                <w:sz w:val="22"/>
                <w:szCs w:val="22"/>
                <w:lang w:val="ky-KG"/>
              </w:rPr>
            </w:pPr>
          </w:p>
          <w:p w14:paraId="24BCA1C8" w14:textId="77777777" w:rsidR="005A054F" w:rsidRPr="00C04A7D" w:rsidRDefault="005A054F" w:rsidP="005330DF">
            <w:pPr>
              <w:pStyle w:val="af6"/>
              <w:ind w:firstLine="720"/>
              <w:jc w:val="both"/>
              <w:rPr>
                <w:rFonts w:ascii="Times New Roman" w:hAnsi="Times New Roman" w:cs="Times New Roman"/>
                <w:sz w:val="22"/>
                <w:szCs w:val="22"/>
                <w:lang w:val="ru"/>
              </w:rPr>
            </w:pPr>
            <w:r w:rsidRPr="00C04A7D">
              <w:rPr>
                <w:rFonts w:ascii="Times New Roman" w:hAnsi="Times New Roman" w:cs="Times New Roman"/>
                <w:sz w:val="22"/>
                <w:szCs w:val="22"/>
                <w:lang w:val="ru"/>
              </w:rPr>
              <w:t xml:space="preserve">Успешный вывод из эксплуатации объектов рудника требует соблюдения нормативных критериев качества воды в точке соблюдения нормативной базы ниже по течению (W1.5.1), расположенной на реке </w:t>
            </w:r>
            <w:r w:rsidRPr="00C04A7D">
              <w:rPr>
                <w:rFonts w:ascii="Times New Roman" w:hAnsi="Times New Roman" w:cs="Times New Roman"/>
                <w:sz w:val="22"/>
                <w:szCs w:val="22"/>
                <w:lang w:val="ru"/>
              </w:rPr>
              <w:lastRenderedPageBreak/>
              <w:t xml:space="preserve">Кумтор сразу за границей концессионной площади. В виду своего специфического расположения точка мониторинга W1.5.1 сочетает все потенциально связанные с рудником сбросы и считается концом зоны смешивания (КЗС) для всех воздействий Кумтора. Критерии качества воды для КГК определены в Гигиенических нормативах «Предельно допустимые концентрации химических веществ в воде водных объектов хозяйственно-питьевого и культурно-бытового водопользования», утвержденные постановлением Правительства Кыргызской Республики от 11 апреля 2016 года №201. </w:t>
            </w:r>
          </w:p>
          <w:p w14:paraId="73972D8D" w14:textId="77777777" w:rsidR="005A054F" w:rsidRPr="00C04A7D" w:rsidRDefault="005A054F" w:rsidP="005330DF">
            <w:pPr>
              <w:ind w:firstLine="72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В 2015 году была проведена детальная оценка рисков для количественного определения потенциальных последствий для окружающей среды и здоровья человека в результате регулярных выбросов в окружающую среду из текущих, будущих источников и источников после вывода рудника из эксплуатации, а также выбросов в результате краткосрочных аварий в КГК.  Потенциальное воздействие было рассмотрено для различных химических веществ, представляющих потенциальную опасность, в точке мониторинга W1.5.1, в 40 км ниже по течению, и в городе Нарын, примерно в 230 км ниже по течению от КГК. Консультанту необходимо будет учитывать результаты этого исследования при разработке соответствующих стратегий вывода из эксплуатации водного хозяйства и потенциальных систем очистки для обеспечения достижения конечных целей землепользования и критериев качества воды. </w:t>
            </w:r>
          </w:p>
          <w:p w14:paraId="09BB6766" w14:textId="77777777" w:rsidR="005A054F" w:rsidRPr="00C04A7D" w:rsidRDefault="005A054F" w:rsidP="005330DF">
            <w:pPr>
              <w:jc w:val="both"/>
              <w:rPr>
                <w:rFonts w:ascii="Times New Roman" w:hAnsi="Times New Roman" w:cs="Times New Roman"/>
                <w:sz w:val="22"/>
                <w:szCs w:val="22"/>
                <w:lang w:val="ru-RU"/>
              </w:rPr>
            </w:pPr>
          </w:p>
          <w:p w14:paraId="757A5A31" w14:textId="77777777" w:rsidR="005A054F" w:rsidRPr="00C04A7D" w:rsidRDefault="005A054F">
            <w:pPr>
              <w:pStyle w:val="a7"/>
              <w:numPr>
                <w:ilvl w:val="1"/>
                <w:numId w:val="16"/>
              </w:numPr>
              <w:spacing w:line="259"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t>Наводнение в результате прорыва ледникового озера Петрова (ПЛО)</w:t>
            </w:r>
          </w:p>
          <w:p w14:paraId="71E2F518" w14:textId="77777777" w:rsidR="005A054F" w:rsidRPr="00C04A7D" w:rsidRDefault="005A054F" w:rsidP="005330DF">
            <w:pPr>
              <w:spacing w:line="259" w:lineRule="auto"/>
              <w:ind w:firstLine="720"/>
              <w:jc w:val="both"/>
              <w:rPr>
                <w:rFonts w:ascii="Times New Roman" w:hAnsi="Times New Roman" w:cs="Times New Roman"/>
                <w:sz w:val="22"/>
                <w:szCs w:val="22"/>
              </w:rPr>
            </w:pPr>
            <w:r w:rsidRPr="00C04A7D">
              <w:rPr>
                <w:rFonts w:ascii="Times New Roman" w:hAnsi="Times New Roman" w:cs="Times New Roman"/>
                <w:sz w:val="22"/>
                <w:szCs w:val="22"/>
                <w:lang w:val="ru"/>
              </w:rPr>
              <w:t>КГК осуществляет забор пресной воды из озера Петрова - озера с естественной моренной перемычкой, расположенного в пределах границы концессионной площади КГК и выше по течению от некоторых объектов рудника. Различные исследования выявили потенциальный риск наводнения в результате прорыва ледникового озера Петрова (ПЛО), которое может произойти в случае обрушения моренной перемычки - особенно после вывода рудника из эксплуатации, когда ожидается потепление, которое приведет к таянию части борта перемычки. За последние несколько лет были проведены исследования потенциальных механизмов обрушения перемычки, последствий наводнений, требований к мониторингу и потенциальных стратегий по смягчению последствий. КПВРЭ 2026 год должен</w:t>
            </w:r>
            <w:r w:rsidRPr="00C04A7D">
              <w:rPr>
                <w:rFonts w:ascii="Times New Roman" w:hAnsi="Times New Roman" w:cs="Times New Roman"/>
                <w:sz w:val="22"/>
                <w:szCs w:val="22"/>
              </w:rPr>
              <w:t>:</w:t>
            </w:r>
            <w:r w:rsidRPr="00C04A7D">
              <w:rPr>
                <w:rFonts w:ascii="Times New Roman" w:hAnsi="Times New Roman" w:cs="Times New Roman"/>
                <w:sz w:val="22"/>
                <w:szCs w:val="22"/>
                <w:lang w:val="ru"/>
              </w:rPr>
              <w:t xml:space="preserve"> </w:t>
            </w:r>
          </w:p>
          <w:p w14:paraId="2AE19E1E" w14:textId="77777777" w:rsidR="005A054F" w:rsidRPr="00C04A7D" w:rsidRDefault="005A054F">
            <w:pPr>
              <w:pStyle w:val="a7"/>
              <w:numPr>
                <w:ilvl w:val="0"/>
                <w:numId w:val="17"/>
              </w:numPr>
              <w:spacing w:after="0"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оценить экологические последствия возможного прорыва после закрытия рудника; </w:t>
            </w:r>
          </w:p>
          <w:p w14:paraId="2C7BBD3E" w14:textId="77777777" w:rsidR="005A054F" w:rsidRPr="00C04A7D" w:rsidRDefault="005A054F">
            <w:pPr>
              <w:pStyle w:val="a7"/>
              <w:numPr>
                <w:ilvl w:val="0"/>
                <w:numId w:val="17"/>
              </w:numPr>
              <w:spacing w:after="0"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предложить инженерно-экологические меры по снижению рисков; </w:t>
            </w:r>
          </w:p>
          <w:p w14:paraId="2217ACEC" w14:textId="77777777" w:rsidR="005A054F" w:rsidRPr="00C04A7D" w:rsidRDefault="005A054F">
            <w:pPr>
              <w:pStyle w:val="a7"/>
              <w:numPr>
                <w:ilvl w:val="0"/>
                <w:numId w:val="17"/>
              </w:numPr>
              <w:spacing w:after="0"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включить требования к мониторингу естественной моренной перемычки; </w:t>
            </w:r>
          </w:p>
          <w:p w14:paraId="01519276" w14:textId="77777777" w:rsidR="005A054F" w:rsidRPr="00C04A7D" w:rsidRDefault="005A054F">
            <w:pPr>
              <w:pStyle w:val="a7"/>
              <w:numPr>
                <w:ilvl w:val="0"/>
                <w:numId w:val="17"/>
              </w:numPr>
              <w:spacing w:after="0"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рассмотреть влияние на экосистемы реки Кумтор и её притоков.</w:t>
            </w:r>
          </w:p>
          <w:p w14:paraId="316C593D" w14:textId="77777777" w:rsidR="005A054F" w:rsidRPr="00C04A7D" w:rsidRDefault="005A054F">
            <w:pPr>
              <w:pStyle w:val="a7"/>
              <w:numPr>
                <w:ilvl w:val="0"/>
                <w:numId w:val="17"/>
              </w:numPr>
              <w:spacing w:after="0"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lastRenderedPageBreak/>
              <w:t xml:space="preserve">затраты на снижение риска ПЛО после вывода рудника из эксплуатации. </w:t>
            </w:r>
          </w:p>
          <w:p w14:paraId="24A83E9F" w14:textId="77777777" w:rsidR="005A054F" w:rsidRPr="00C04A7D" w:rsidRDefault="005A054F" w:rsidP="005330DF">
            <w:pPr>
              <w:pStyle w:val="a7"/>
              <w:spacing w:line="259" w:lineRule="auto"/>
              <w:ind w:left="785"/>
              <w:jc w:val="both"/>
              <w:rPr>
                <w:rFonts w:ascii="Times New Roman" w:hAnsi="Times New Roman" w:cs="Times New Roman"/>
                <w:sz w:val="22"/>
                <w:szCs w:val="22"/>
                <w:lang w:val="ru-RU"/>
              </w:rPr>
            </w:pPr>
          </w:p>
          <w:p w14:paraId="65772759" w14:textId="77777777" w:rsidR="005A054F" w:rsidRPr="00C04A7D" w:rsidRDefault="005A054F">
            <w:pPr>
              <w:pStyle w:val="a7"/>
              <w:numPr>
                <w:ilvl w:val="1"/>
                <w:numId w:val="16"/>
              </w:numPr>
              <w:spacing w:line="259" w:lineRule="auto"/>
              <w:ind w:left="617" w:hanging="257"/>
              <w:rPr>
                <w:rFonts w:ascii="Times New Roman" w:hAnsi="Times New Roman" w:cs="Times New Roman"/>
                <w:b/>
                <w:sz w:val="22"/>
                <w:szCs w:val="22"/>
                <w:lang w:val="ru"/>
              </w:rPr>
            </w:pPr>
            <w:r w:rsidRPr="00C04A7D">
              <w:rPr>
                <w:rFonts w:ascii="Times New Roman" w:hAnsi="Times New Roman" w:cs="Times New Roman"/>
                <w:b/>
                <w:sz w:val="22"/>
                <w:szCs w:val="22"/>
                <w:lang w:val="ru"/>
              </w:rPr>
              <w:t>Оценка социальных последствий вывода рудника из эксплуатации</w:t>
            </w:r>
          </w:p>
          <w:p w14:paraId="272D71C4" w14:textId="77777777" w:rsidR="005A054F" w:rsidRPr="00C04A7D" w:rsidRDefault="005A054F" w:rsidP="005330DF">
            <w:pPr>
              <w:spacing w:line="259" w:lineRule="auto"/>
              <w:ind w:firstLine="72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КГК, будучи крупнейшим работодателем граждан КР в частном секторе и осуществляя основной вклад в ВВП КР, играет важную роль в экономической и политической жизни КР и, в частности, Иссык-Кульской области. Следовательно, КГК стремится выявлять и смягчать потенциальные экономические и социальные последствия для местных сообществ, возникающие в результате прекращения ее деятельности. Конечной целью этого компонента КПВРЭ на 2026 год является выявление и смягчение негативных социальных последствий прекращения деятельности КГК, а также выявление возможностей для получения устойчивых социально-экономических выгод после прекращения деятельности КГК. </w:t>
            </w:r>
          </w:p>
          <w:p w14:paraId="157221B4" w14:textId="77777777" w:rsidR="005A054F" w:rsidRPr="00C04A7D" w:rsidRDefault="005A054F" w:rsidP="005330DF">
            <w:pPr>
              <w:spacing w:line="259" w:lineRule="auto"/>
              <w:ind w:firstLine="360"/>
              <w:jc w:val="both"/>
              <w:rPr>
                <w:rFonts w:ascii="Times New Roman" w:hAnsi="Times New Roman" w:cs="Times New Roman"/>
                <w:sz w:val="22"/>
                <w:szCs w:val="22"/>
              </w:rPr>
            </w:pPr>
            <w:r w:rsidRPr="00C04A7D">
              <w:rPr>
                <w:rFonts w:ascii="Times New Roman" w:hAnsi="Times New Roman" w:cs="Times New Roman"/>
                <w:sz w:val="22"/>
                <w:szCs w:val="22"/>
                <w:lang w:val="ru"/>
              </w:rPr>
              <w:t>Важно, чтобы Консультант принял процесс консультативной оценки, который может быть использован для руководства общим процессом планирования прекращения деятельности КГК в соответствии с любыми законодательными требованиями КР и руководящими принципами ПМОП. Оценка должна быть сосредоточена на «жизнеспособности» местного сообщества для сохранения чистых положительных выгод от деловой деятельности и поиска альтернативных видов деятельности для замены любой прямой или косвенной социальной или экономической зависимости от КГК. Ключевые компоненты оценки включают:</w:t>
            </w:r>
          </w:p>
          <w:p w14:paraId="5683C464" w14:textId="77777777" w:rsidR="005A054F" w:rsidRPr="00C04A7D" w:rsidRDefault="005A054F">
            <w:pPr>
              <w:numPr>
                <w:ilvl w:val="0"/>
                <w:numId w:val="19"/>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b/>
                <w:sz w:val="22"/>
                <w:szCs w:val="22"/>
                <w:lang w:val="ru"/>
              </w:rPr>
              <w:t>Участие заинтересованных сторон.</w:t>
            </w:r>
            <w:r w:rsidRPr="00C04A7D">
              <w:rPr>
                <w:rFonts w:ascii="Times New Roman" w:hAnsi="Times New Roman" w:cs="Times New Roman"/>
                <w:sz w:val="22"/>
                <w:szCs w:val="22"/>
                <w:lang w:val="ru"/>
              </w:rPr>
              <w:t xml:space="preserve"> Последовательное и прозрачное взаимодействие с заинтересованными сторонами и проактивное управление ожиданиями имеет центральное значение для успешного планирования вывода рудника из эксплуатации. Консультант должен работать совместно с соответствующими отделами, чтобы понять текущее восприятие, проблемы, воздействие и риски (и возможности) текущей стратегии по выводу рудника из эксплуатации. Любое взаимодействие должно быть согласовано с существующим взаимодействием КГК с заинтересованными сторонами и полностью дополнять его. Процесс должен обеспечивать достаточную и доступную информацию для заинтересованных сторон, чтобы они могли поднимать волнующие их вопросы и выдвигать предложения по рекультивации и выводу из эксплуатации рудника КГК; подтверждать, что вопросы заинтересованных сторон были зарегистрированы; помогать в определении разумных альтернатив; вносить соответствующую местную информацию и традиционные знания в процесс планирования вывода из эксплуатации; и давать возможность заинтересованным сторонам высказывать свои замечания по общему процессу/стратегии рекультивации и выводу рудника из эксплуатации. Следует также обсудить цели КГК по выводу рудника из эксплуатации (включая социально-</w:t>
            </w:r>
            <w:r w:rsidRPr="00C04A7D">
              <w:rPr>
                <w:rFonts w:ascii="Times New Roman" w:hAnsi="Times New Roman" w:cs="Times New Roman"/>
                <w:sz w:val="22"/>
                <w:szCs w:val="22"/>
                <w:lang w:val="ru"/>
              </w:rPr>
              <w:lastRenderedPageBreak/>
              <w:t>экономические цели), окончательные варианты землепользования и критерии успеха.</w:t>
            </w:r>
          </w:p>
          <w:p w14:paraId="18120D8B" w14:textId="77777777" w:rsidR="005A054F" w:rsidRPr="00C04A7D" w:rsidRDefault="005A054F" w:rsidP="005330DF">
            <w:pPr>
              <w:spacing w:line="259" w:lineRule="auto"/>
              <w:ind w:left="360"/>
              <w:contextualSpacing/>
              <w:jc w:val="both"/>
              <w:rPr>
                <w:rFonts w:ascii="Times New Roman" w:hAnsi="Times New Roman" w:cs="Times New Roman"/>
                <w:sz w:val="22"/>
                <w:szCs w:val="22"/>
                <w:lang w:val="ru-RU"/>
              </w:rPr>
            </w:pPr>
          </w:p>
          <w:p w14:paraId="079E3F7A" w14:textId="77777777" w:rsidR="005A054F" w:rsidRPr="00C04A7D" w:rsidRDefault="005A054F">
            <w:pPr>
              <w:numPr>
                <w:ilvl w:val="0"/>
                <w:numId w:val="19"/>
              </w:numPr>
              <w:spacing w:line="259" w:lineRule="auto"/>
              <w:contextualSpacing/>
              <w:jc w:val="both"/>
              <w:rPr>
                <w:rFonts w:ascii="Times New Roman" w:hAnsi="Times New Roman" w:cs="Times New Roman"/>
                <w:sz w:val="22"/>
                <w:szCs w:val="22"/>
              </w:rPr>
            </w:pPr>
            <w:r w:rsidRPr="00C04A7D">
              <w:rPr>
                <w:rFonts w:ascii="Times New Roman" w:hAnsi="Times New Roman" w:cs="Times New Roman"/>
                <w:b/>
                <w:sz w:val="22"/>
                <w:szCs w:val="22"/>
                <w:lang w:val="ru"/>
              </w:rPr>
              <w:t>Оценка воздействий.</w:t>
            </w:r>
            <w:r w:rsidRPr="00C04A7D">
              <w:rPr>
                <w:rFonts w:ascii="Times New Roman" w:hAnsi="Times New Roman" w:cs="Times New Roman"/>
                <w:sz w:val="22"/>
                <w:szCs w:val="22"/>
                <w:lang w:val="ru"/>
              </w:rPr>
              <w:t xml:space="preserve"> В 2019 году КГК инициировала проведение социально-экономического базового исследования в Иссык-Кульской области. Цель исследования заключалась в том, чтобы сделать первый шаг в представлении более полной картины текущих социально-экономических тенденций и проблем развития в Иссык-Кульской области и определить, как они связаны с общим контекстом на государственном уровне. В рамках КПВРЭ на 2026 год Консультант должен использовать это исследование, чтобы обеспечить основу для оценки общего вклада КГК в местное, региональное и государственное развитие и вероятных последствий вывода рудника из эксплуатации для затронутых местных сообществ. Оценка должна включать:</w:t>
            </w:r>
          </w:p>
          <w:p w14:paraId="5CF5E4B7" w14:textId="77777777" w:rsidR="005A054F" w:rsidRPr="00C04A7D" w:rsidRDefault="005A054F">
            <w:pPr>
              <w:numPr>
                <w:ilvl w:val="0"/>
                <w:numId w:val="18"/>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Экономическая среда (экономическая уязвимость, определение уязвимых групп, включая женщин, молодежь и пожилых людей, занятость, экономическое развитие, сельское хозяйство, развитие предпринимательства и бизнеса, конкуренция за экономические ресурсы, инфраструктура и т. д.).</w:t>
            </w:r>
          </w:p>
          <w:p w14:paraId="60541F90" w14:textId="77777777" w:rsidR="005A054F" w:rsidRPr="00C04A7D" w:rsidRDefault="005A054F">
            <w:pPr>
              <w:numPr>
                <w:ilvl w:val="0"/>
                <w:numId w:val="18"/>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Поддержание инфраструктуры и услуг для местного сообщества (водоснабжение, здравоохранение, образование, дороги, транспорт, передача ответственности за предоставление услуг и т. д.).</w:t>
            </w:r>
          </w:p>
          <w:p w14:paraId="164BC469" w14:textId="77777777" w:rsidR="005A054F" w:rsidRPr="00C04A7D" w:rsidRDefault="005A054F">
            <w:pPr>
              <w:numPr>
                <w:ilvl w:val="0"/>
                <w:numId w:val="18"/>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Социальная среда (социальное благосостояние, социальные изменения, перемещение населения, сплоченность сообщества и социальные конфликты).</w:t>
            </w:r>
          </w:p>
          <w:p w14:paraId="73BAB59A" w14:textId="77777777" w:rsidR="005A054F" w:rsidRPr="00C04A7D" w:rsidRDefault="005A054F">
            <w:pPr>
              <w:numPr>
                <w:ilvl w:val="0"/>
                <w:numId w:val="18"/>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Политическая и институциональная среда (изменения и передача организационной ответственности, местная власть, ресурсы и потенциал, организационный вакуум и т. д.).</w:t>
            </w:r>
          </w:p>
          <w:p w14:paraId="5CD5BD65" w14:textId="77777777" w:rsidR="005A054F" w:rsidRPr="00C04A7D" w:rsidRDefault="005A054F" w:rsidP="005330DF">
            <w:pPr>
              <w:spacing w:line="259" w:lineRule="auto"/>
              <w:ind w:left="360"/>
              <w:contextualSpacing/>
              <w:jc w:val="both"/>
              <w:rPr>
                <w:rFonts w:ascii="Times New Roman" w:hAnsi="Times New Roman" w:cs="Times New Roman"/>
                <w:sz w:val="22"/>
                <w:szCs w:val="22"/>
                <w:lang w:val="ru-RU"/>
              </w:rPr>
            </w:pPr>
          </w:p>
          <w:p w14:paraId="0ECFADA0" w14:textId="77777777" w:rsidR="005A054F" w:rsidRPr="00C04A7D" w:rsidRDefault="005A054F">
            <w:pPr>
              <w:numPr>
                <w:ilvl w:val="0"/>
                <w:numId w:val="19"/>
              </w:numPr>
              <w:spacing w:line="259" w:lineRule="auto"/>
              <w:contextualSpacing/>
              <w:jc w:val="both"/>
              <w:rPr>
                <w:rFonts w:ascii="Times New Roman" w:hAnsi="Times New Roman" w:cs="Times New Roman"/>
                <w:b/>
                <w:sz w:val="22"/>
                <w:szCs w:val="22"/>
                <w:lang w:val="ru-RU"/>
              </w:rPr>
            </w:pPr>
            <w:r w:rsidRPr="00C04A7D">
              <w:rPr>
                <w:rFonts w:ascii="Times New Roman" w:hAnsi="Times New Roman" w:cs="Times New Roman"/>
                <w:b/>
                <w:sz w:val="22"/>
                <w:szCs w:val="22"/>
                <w:lang w:val="ru"/>
              </w:rPr>
              <w:t xml:space="preserve">Планы по смягчению социальных рисков вывода рудника из эксплуатации. </w:t>
            </w:r>
            <w:r w:rsidRPr="00C04A7D">
              <w:rPr>
                <w:rFonts w:ascii="Times New Roman" w:hAnsi="Times New Roman" w:cs="Times New Roman"/>
                <w:sz w:val="22"/>
                <w:szCs w:val="22"/>
                <w:lang w:val="ru"/>
              </w:rPr>
              <w:t xml:space="preserve">Основываясь на оценке социальных воздействий и текущей программе устойчивого развития КГК (с фокусом на молодежь и МСП), Консультант должен работать совместно с КГК над определением стратегий по минимизации потенциала негативных социальных воздействий, определенных для вывода рудника из эксплуатации, максимизации любых текущих возможностей и преодолению угроз для достижения целевых социальных результатов вывода из эксплуатации и отказа от прав собственности и ответственности. Необходимо надлежащим образом использовать вклад заинтересованных сторон, исходные данные и оценку воздействия для разработки плана по мониторингу и смягчению социальных последствий после вывода рудника из эксплуатации с целью снижения социальных рисков в контексте выполнения любых невыполненных социальных обязательств (ответственности). Этот план может использоваться в последующих редакциях КПВРЭ и, в конечном счете, в ОПВРЭ. </w:t>
            </w:r>
          </w:p>
          <w:p w14:paraId="5044961C" w14:textId="77777777" w:rsidR="005A054F" w:rsidRPr="00C04A7D" w:rsidRDefault="005A054F" w:rsidP="005330DF">
            <w:pPr>
              <w:spacing w:line="259" w:lineRule="auto"/>
              <w:contextualSpacing/>
              <w:jc w:val="both"/>
              <w:rPr>
                <w:rFonts w:ascii="Times New Roman" w:hAnsi="Times New Roman" w:cs="Times New Roman"/>
                <w:b/>
                <w:sz w:val="22"/>
                <w:szCs w:val="22"/>
                <w:lang w:val="ky-KG"/>
              </w:rPr>
            </w:pPr>
          </w:p>
          <w:p w14:paraId="723F98D8" w14:textId="77777777" w:rsidR="005A054F" w:rsidRPr="00C04A7D" w:rsidRDefault="005A054F">
            <w:pPr>
              <w:pStyle w:val="a7"/>
              <w:numPr>
                <w:ilvl w:val="1"/>
                <w:numId w:val="16"/>
              </w:numPr>
              <w:spacing w:after="0" w:line="240"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lastRenderedPageBreak/>
              <w:t>Требования к мониторингу и обслуживанию после вывода рудника из эксплуатации</w:t>
            </w:r>
          </w:p>
          <w:p w14:paraId="0CD78D29" w14:textId="77777777" w:rsidR="005A054F" w:rsidRPr="00C04A7D" w:rsidRDefault="005A054F" w:rsidP="005330DF">
            <w:pPr>
              <w:ind w:left="360"/>
              <w:jc w:val="both"/>
              <w:rPr>
                <w:rFonts w:ascii="Times New Roman" w:hAnsi="Times New Roman" w:cs="Times New Roman"/>
                <w:b/>
                <w:sz w:val="22"/>
                <w:szCs w:val="22"/>
                <w:lang w:val="ru"/>
              </w:rPr>
            </w:pPr>
          </w:p>
          <w:p w14:paraId="444F0695" w14:textId="77777777" w:rsidR="005A054F" w:rsidRPr="00C04A7D" w:rsidRDefault="005A054F" w:rsidP="005330DF">
            <w:pPr>
              <w:ind w:firstLine="720"/>
              <w:jc w:val="both"/>
              <w:rPr>
                <w:rFonts w:ascii="Times New Roman" w:hAnsi="Times New Roman" w:cs="Times New Roman"/>
                <w:sz w:val="22"/>
                <w:szCs w:val="22"/>
                <w:lang w:val="ru"/>
              </w:rPr>
            </w:pPr>
            <w:r w:rsidRPr="00C04A7D">
              <w:rPr>
                <w:rFonts w:ascii="Times New Roman" w:hAnsi="Times New Roman" w:cs="Times New Roman"/>
                <w:sz w:val="22"/>
                <w:szCs w:val="22"/>
                <w:lang w:val="ru"/>
              </w:rPr>
              <w:t xml:space="preserve">Целями программы мониторинга после вывода рудника из эксплуатации являются демонстрация соблюдения законов и нормативных актов КР в области охраны окружающей среды, корпоративных стандартов и требований кредитных агентств; демонстрация адекватной эффективности стратегий вывода рудника из эксплуатации; и выявление областей с неприемлемыми показателями, которые могут потребовать инициирования стратегий по смягчению последствий. В КПВРЭ на 2026 год следует учитывать ПМОП для соответствующих мероприятий по мониторингу и периодов после вывода рудника из эксплуатации, включая план по смягчению социальных рисков вывода рудника из эксплуатации, рассмотренный выше. </w:t>
            </w:r>
          </w:p>
          <w:p w14:paraId="26BC4DCF" w14:textId="77777777" w:rsidR="005A054F" w:rsidRPr="00C04A7D" w:rsidRDefault="005A054F" w:rsidP="005330DF">
            <w:pPr>
              <w:ind w:firstLine="720"/>
              <w:jc w:val="both"/>
              <w:rPr>
                <w:rFonts w:ascii="Times New Roman" w:hAnsi="Times New Roman" w:cs="Times New Roman"/>
                <w:sz w:val="22"/>
                <w:szCs w:val="22"/>
                <w:lang w:val="ru-RU"/>
              </w:rPr>
            </w:pPr>
          </w:p>
          <w:p w14:paraId="2101C336" w14:textId="77777777" w:rsidR="005A054F" w:rsidRPr="00C04A7D" w:rsidRDefault="005A054F">
            <w:pPr>
              <w:pStyle w:val="a7"/>
              <w:numPr>
                <w:ilvl w:val="1"/>
                <w:numId w:val="16"/>
              </w:numPr>
              <w:spacing w:after="0" w:line="240" w:lineRule="auto"/>
              <w:jc w:val="both"/>
              <w:rPr>
                <w:rFonts w:ascii="Times New Roman" w:hAnsi="Times New Roman" w:cs="Times New Roman"/>
                <w:b/>
                <w:sz w:val="22"/>
                <w:szCs w:val="22"/>
                <w:lang w:val="ru"/>
              </w:rPr>
            </w:pPr>
            <w:r w:rsidRPr="00C04A7D">
              <w:rPr>
                <w:rFonts w:ascii="Times New Roman" w:hAnsi="Times New Roman" w:cs="Times New Roman"/>
                <w:b/>
                <w:sz w:val="22"/>
                <w:szCs w:val="22"/>
                <w:lang w:val="ru"/>
              </w:rPr>
              <w:t>Детальная смета затрат на вывод рудника из эксплуатации</w:t>
            </w:r>
          </w:p>
          <w:p w14:paraId="5BAAAD42" w14:textId="77777777" w:rsidR="005A054F" w:rsidRPr="00C04A7D" w:rsidRDefault="005A054F" w:rsidP="005330DF">
            <w:pPr>
              <w:ind w:left="360"/>
              <w:jc w:val="both"/>
              <w:rPr>
                <w:rFonts w:ascii="Times New Roman" w:hAnsi="Times New Roman" w:cs="Times New Roman"/>
                <w:b/>
                <w:sz w:val="22"/>
                <w:szCs w:val="22"/>
                <w:lang w:val="ky-KG"/>
              </w:rPr>
            </w:pPr>
          </w:p>
          <w:p w14:paraId="3DC5911F" w14:textId="77777777" w:rsidR="005A054F" w:rsidRPr="00C04A7D" w:rsidRDefault="005A054F" w:rsidP="005330DF">
            <w:pPr>
              <w:ind w:firstLine="72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КПВРЭ на 2026 год должен включать детальную смету затрат на вывод рудника из эксплуатации для всех технических аспектов вывода из эксплуатации и закрытия КГК, включая смету затрат на смягчение последствий и управление социальными вопросами, а также требования к мониторингу и обслуживанию после вывода из эксплуатации. Потенциальная ликвидационная стоимость оборудования должна быть проигнорирована - в соответствии с ПМОП, а затраты должны быть указаны в долларах США на 2026 год (без инфляции) на уровне достоверности, соответствующем КПВРЭ. КГК будет ежегодно определять будущие ставки дисконтирования и инфляции для расчета соответствующего обязательства по выводу из эксплуатации в соответствии с Международными стандартами финансовой отчетности (МСФО).</w:t>
            </w:r>
          </w:p>
          <w:p w14:paraId="5F5D2B6D" w14:textId="77777777" w:rsidR="005A054F" w:rsidRPr="00C04A7D" w:rsidRDefault="005A054F" w:rsidP="005330DF">
            <w:pPr>
              <w:ind w:firstLine="72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Консультант должен использовать Модель стандартизированной оценки затрат на рекультивацию (SRCE), </w:t>
            </w:r>
            <w:hyperlink r:id="rId10" w:history="1">
              <w:r w:rsidRPr="00C04A7D">
                <w:rPr>
                  <w:rStyle w:val="ad"/>
                  <w:rFonts w:ascii="Times New Roman" w:hAnsi="Times New Roman" w:cs="Times New Roman"/>
                  <w:color w:val="auto"/>
                  <w:sz w:val="22"/>
                  <w:szCs w:val="22"/>
                  <w:u w:val="none"/>
                  <w:lang w:val="ru"/>
                </w:rPr>
                <w:t>Модель стандартизированной оценки затрат на рекультивацию (SRCE) | NDEP (nv.gov)</w:t>
              </w:r>
            </w:hyperlink>
            <w:r w:rsidRPr="00C04A7D">
              <w:rPr>
                <w:rFonts w:ascii="Times New Roman" w:hAnsi="Times New Roman" w:cs="Times New Roman"/>
                <w:sz w:val="22"/>
                <w:szCs w:val="22"/>
                <w:lang w:val="ru"/>
              </w:rPr>
              <w:t xml:space="preserve">, которая была разработана для обеспечения полезного инструмента оценки затрат на вывод из эксплуатации и рекультивацию, который стандартизирует требования к вводу данных пользователем, расчеты производительности, расчеты объема и площади в последовательном формате, обеспечивая при этом достаточную гибкость для учета условий конкретного участка. Сметы затрат на рекультивацию должны быть основаны на работах, выполняемых персоналом КГК с использованием существующего оборудования. В отличие от многих других горнодобывающих предприятий, затраты </w:t>
            </w:r>
            <w:r w:rsidRPr="00C04A7D">
              <w:rPr>
                <w:rFonts w:ascii="Times New Roman" w:hAnsi="Times New Roman" w:cs="Times New Roman"/>
                <w:sz w:val="22"/>
                <w:szCs w:val="22"/>
                <w:lang w:val="ru"/>
              </w:rPr>
              <w:lastRenderedPageBreak/>
              <w:t>подрядчиков в КГК в целом ниже, чем внутренние затраты на многие работы, связанные с выводом рудника из эксплуатации (например, земляные работы). Частично это связано с надбавками за высокогорье и удаленность, причитающимися постоянным сотрудникам КГК, работающим полный рабочий день.</w:t>
            </w:r>
          </w:p>
          <w:p w14:paraId="1457D449" w14:textId="77777777" w:rsidR="005A054F" w:rsidRPr="00C04A7D" w:rsidRDefault="005A054F" w:rsidP="005330DF">
            <w:pPr>
              <w:ind w:firstLine="72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Кроме того, Консультант должен включить вероятностный анализ затрат, при котором неопределенность в оценках затрат (количество, удельные ставки, надбавки, непредвиденные расходы и т. д.) может быть учтена с помощью статистического анализа (например, моделирование методом Монте-Карло). Это позволяет пользователям КПВРЭ понять вероятность превышения заданных затрат и дает более надежный и сложный результат по сравнению только со стандартными методами расчета затрат. Неопределенности, затраты и распределения вероятностей, используемые в вероятностном анализе затрат, лучше всего определять на семинаре (ах) с соответствующими внутренними экспертами, и Консультанту необходимо будет выделить достаточно времени и бюджета для этого процесса. </w:t>
            </w:r>
          </w:p>
          <w:p w14:paraId="0877A647" w14:textId="77777777" w:rsidR="005A054F" w:rsidRPr="00C04A7D" w:rsidRDefault="005A054F" w:rsidP="005330DF">
            <w:pPr>
              <w:ind w:firstLine="720"/>
              <w:jc w:val="both"/>
              <w:rPr>
                <w:rFonts w:ascii="Times New Roman" w:hAnsi="Times New Roman" w:cs="Times New Roman"/>
                <w:sz w:val="22"/>
                <w:szCs w:val="22"/>
                <w:lang w:val="ru-RU"/>
              </w:rPr>
            </w:pPr>
          </w:p>
          <w:p w14:paraId="71329648" w14:textId="77777777" w:rsidR="005A054F" w:rsidRPr="00C04A7D" w:rsidRDefault="005A054F">
            <w:pPr>
              <w:pStyle w:val="a7"/>
              <w:numPr>
                <w:ilvl w:val="1"/>
                <w:numId w:val="16"/>
              </w:numPr>
              <w:spacing w:after="0" w:line="240" w:lineRule="auto"/>
              <w:jc w:val="both"/>
              <w:rPr>
                <w:rFonts w:ascii="Times New Roman" w:hAnsi="Times New Roman" w:cs="Times New Roman"/>
                <w:b/>
                <w:bCs/>
                <w:sz w:val="22"/>
                <w:szCs w:val="22"/>
                <w:lang w:val="ky-KG"/>
              </w:rPr>
            </w:pPr>
            <w:r w:rsidRPr="00C04A7D">
              <w:rPr>
                <w:rFonts w:ascii="Times New Roman" w:hAnsi="Times New Roman" w:cs="Times New Roman"/>
                <w:b/>
                <w:bCs/>
                <w:sz w:val="22"/>
                <w:szCs w:val="22"/>
                <w:lang w:val="ru"/>
              </w:rPr>
              <w:t>Т</w:t>
            </w:r>
            <w:r w:rsidRPr="00C04A7D">
              <w:rPr>
                <w:rFonts w:ascii="Times New Roman" w:hAnsi="Times New Roman" w:cs="Times New Roman"/>
                <w:b/>
                <w:bCs/>
                <w:sz w:val="22"/>
                <w:szCs w:val="22"/>
              </w:rPr>
              <w:t>ребования природоохранного законодательства Кыргызской Республики</w:t>
            </w:r>
          </w:p>
          <w:p w14:paraId="3CBC339B" w14:textId="77777777" w:rsidR="005A054F" w:rsidRPr="00C04A7D" w:rsidRDefault="005A054F" w:rsidP="005330DF">
            <w:pPr>
              <w:pStyle w:val="a7"/>
              <w:jc w:val="both"/>
              <w:rPr>
                <w:rFonts w:ascii="Times New Roman" w:hAnsi="Times New Roman" w:cs="Times New Roman"/>
                <w:b/>
                <w:bCs/>
                <w:sz w:val="22"/>
                <w:szCs w:val="22"/>
                <w:lang w:val="ky-KG"/>
              </w:rPr>
            </w:pPr>
          </w:p>
          <w:p w14:paraId="1B148712" w14:textId="77777777" w:rsidR="005A054F" w:rsidRPr="00C04A7D" w:rsidRDefault="005A054F" w:rsidP="005330DF">
            <w:pPr>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Консультант должен обеспечить соблюдение следующих нормативных документов (не ограничиваясь ими):</w:t>
            </w:r>
          </w:p>
          <w:p w14:paraId="7D8E7522" w14:textId="77777777" w:rsidR="005A054F" w:rsidRPr="00C04A7D" w:rsidRDefault="005A054F">
            <w:pPr>
              <w:numPr>
                <w:ilvl w:val="0"/>
                <w:numId w:val="10"/>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Водный кодекс КР;</w:t>
            </w:r>
          </w:p>
          <w:p w14:paraId="5D309103" w14:textId="77777777" w:rsidR="005A054F" w:rsidRPr="00C04A7D" w:rsidRDefault="005A054F">
            <w:pPr>
              <w:numPr>
                <w:ilvl w:val="0"/>
                <w:numId w:val="10"/>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lang w:val="ky-KG"/>
              </w:rPr>
              <w:t>Земельный кодекс КР;</w:t>
            </w:r>
          </w:p>
          <w:p w14:paraId="2B37FD14"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Закон КР «Об охране окружающей среды»;</w:t>
            </w:r>
          </w:p>
          <w:p w14:paraId="1DF4ABB4"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Закон КР «Об экологической экспертизе»;</w:t>
            </w:r>
          </w:p>
          <w:p w14:paraId="4E6BDE26" w14:textId="77777777" w:rsidR="005A054F" w:rsidRPr="00C04A7D" w:rsidRDefault="005A054F">
            <w:pPr>
              <w:numPr>
                <w:ilvl w:val="0"/>
                <w:numId w:val="10"/>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Закон КР «О недрах»;</w:t>
            </w:r>
          </w:p>
          <w:p w14:paraId="1B3635C4"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ky-KG"/>
              </w:rPr>
              <w:t xml:space="preserve">Закон  КР </w:t>
            </w:r>
            <w:r w:rsidRPr="00C04A7D">
              <w:rPr>
                <w:rFonts w:ascii="Times New Roman" w:hAnsi="Times New Roman" w:cs="Times New Roman"/>
                <w:sz w:val="22"/>
                <w:szCs w:val="22"/>
                <w:lang w:val="ru-RU"/>
              </w:rPr>
              <w:t>«Общий технический регламент по обеспечению экологической безопасности в Кыргызской Республике»;</w:t>
            </w:r>
          </w:p>
          <w:p w14:paraId="09B97181"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Закон КР «Об охране атмосферного воздуха»;</w:t>
            </w:r>
          </w:p>
          <w:p w14:paraId="2A44186A"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Постановление Правительства КР № 517 от 18.09.2017 года № 517 «Положение о рекультивации земель, нарушенных в процессе пользования недрами».</w:t>
            </w:r>
          </w:p>
          <w:p w14:paraId="116956FA"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Постановление Правительства КР №201 (2016 г.) — ПДК химических веществ в воде;</w:t>
            </w:r>
          </w:p>
          <w:p w14:paraId="113A7EB4"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СанПиН КР по качеству питьевой воды и воде водных объектов;</w:t>
            </w:r>
          </w:p>
          <w:p w14:paraId="0C1B769E" w14:textId="77777777" w:rsidR="005A054F" w:rsidRPr="00C04A7D" w:rsidRDefault="005A054F">
            <w:pPr>
              <w:numPr>
                <w:ilvl w:val="0"/>
                <w:numId w:val="10"/>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Нормативы по отходам и их классифицирующие признаки.</w:t>
            </w:r>
          </w:p>
          <w:p w14:paraId="14A239DB" w14:textId="77777777" w:rsidR="005A054F" w:rsidRPr="00C04A7D" w:rsidRDefault="005A054F" w:rsidP="005330DF">
            <w:pPr>
              <w:ind w:firstLine="720"/>
              <w:jc w:val="both"/>
              <w:rPr>
                <w:rFonts w:ascii="Times New Roman" w:hAnsi="Times New Roman" w:cs="Times New Roman"/>
                <w:sz w:val="22"/>
                <w:szCs w:val="22"/>
                <w:lang w:val="ky-KG"/>
              </w:rPr>
            </w:pPr>
            <w:r w:rsidRPr="00C04A7D">
              <w:rPr>
                <w:rFonts w:ascii="Times New Roman" w:hAnsi="Times New Roman" w:cs="Times New Roman"/>
                <w:sz w:val="22"/>
                <w:szCs w:val="22"/>
                <w:lang w:val="ru-RU"/>
              </w:rPr>
              <w:t>Все экологические решения должны содержать ссылки на применимые нормы и подтверждаться расчётами.</w:t>
            </w:r>
          </w:p>
          <w:p w14:paraId="2E9251B7" w14:textId="77777777" w:rsidR="005A054F" w:rsidRPr="00C04A7D" w:rsidRDefault="005A054F" w:rsidP="005330DF">
            <w:pPr>
              <w:jc w:val="both"/>
              <w:rPr>
                <w:rFonts w:ascii="Times New Roman" w:hAnsi="Times New Roman" w:cs="Times New Roman"/>
                <w:sz w:val="22"/>
                <w:szCs w:val="22"/>
                <w:lang w:val="ky-KG"/>
              </w:rPr>
            </w:pPr>
          </w:p>
          <w:p w14:paraId="3E559413" w14:textId="77777777" w:rsidR="005A054F" w:rsidRPr="00C04A7D" w:rsidRDefault="005A054F" w:rsidP="005330DF">
            <w:pPr>
              <w:jc w:val="both"/>
              <w:rPr>
                <w:rFonts w:ascii="Times New Roman" w:hAnsi="Times New Roman" w:cs="Times New Roman"/>
                <w:b/>
                <w:bCs/>
                <w:sz w:val="22"/>
                <w:szCs w:val="22"/>
                <w:lang w:val="ky-KG"/>
              </w:rPr>
            </w:pPr>
            <w:r w:rsidRPr="00C04A7D">
              <w:rPr>
                <w:rFonts w:ascii="Times New Roman" w:hAnsi="Times New Roman" w:cs="Times New Roman"/>
                <w:b/>
                <w:bCs/>
                <w:sz w:val="22"/>
                <w:szCs w:val="22"/>
                <w:lang w:val="ky-KG"/>
              </w:rPr>
              <w:t xml:space="preserve">     1.14  </w:t>
            </w:r>
            <w:r w:rsidRPr="00C04A7D">
              <w:rPr>
                <w:rFonts w:ascii="Times New Roman" w:hAnsi="Times New Roman" w:cs="Times New Roman"/>
                <w:b/>
                <w:bCs/>
                <w:sz w:val="22"/>
                <w:szCs w:val="22"/>
                <w:lang w:val="ru-RU"/>
              </w:rPr>
              <w:t>Управление отходами (производственными и бытовыми)</w:t>
            </w:r>
          </w:p>
          <w:p w14:paraId="741E7863" w14:textId="77777777" w:rsidR="005A054F" w:rsidRPr="00C04A7D" w:rsidRDefault="005A054F" w:rsidP="005330DF">
            <w:pPr>
              <w:ind w:firstLine="720"/>
              <w:jc w:val="both"/>
              <w:rPr>
                <w:rFonts w:ascii="Times New Roman" w:hAnsi="Times New Roman" w:cs="Times New Roman"/>
                <w:sz w:val="22"/>
                <w:szCs w:val="22"/>
              </w:rPr>
            </w:pPr>
            <w:r w:rsidRPr="00C04A7D">
              <w:rPr>
                <w:rFonts w:ascii="Times New Roman" w:hAnsi="Times New Roman" w:cs="Times New Roman"/>
                <w:sz w:val="22"/>
                <w:szCs w:val="22"/>
              </w:rPr>
              <w:t>Консультанту необходимо разработать:</w:t>
            </w:r>
          </w:p>
          <w:p w14:paraId="4FFD65D9" w14:textId="77777777" w:rsidR="005A054F" w:rsidRPr="00C04A7D" w:rsidRDefault="005A054F">
            <w:pPr>
              <w:numPr>
                <w:ilvl w:val="0"/>
                <w:numId w:val="26"/>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lastRenderedPageBreak/>
              <w:t>план безопасной демобилизации объектов обращения с отходами;</w:t>
            </w:r>
          </w:p>
          <w:p w14:paraId="473927A6" w14:textId="77777777" w:rsidR="005A054F" w:rsidRPr="00C04A7D" w:rsidRDefault="005A054F">
            <w:pPr>
              <w:numPr>
                <w:ilvl w:val="0"/>
                <w:numId w:val="26"/>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оценку остаточных загрязнений на площадках хранения;</w:t>
            </w:r>
          </w:p>
          <w:p w14:paraId="76B2E1C5" w14:textId="77777777" w:rsidR="005A054F" w:rsidRPr="00C04A7D" w:rsidRDefault="005A054F">
            <w:pPr>
              <w:numPr>
                <w:ilvl w:val="0"/>
                <w:numId w:val="26"/>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порядок закрытия и консервации складов ГСМ, реагентов, химических веществ;</w:t>
            </w:r>
          </w:p>
          <w:p w14:paraId="478C33EF" w14:textId="77777777" w:rsidR="005A054F" w:rsidRPr="00C04A7D" w:rsidRDefault="005A054F">
            <w:pPr>
              <w:numPr>
                <w:ilvl w:val="0"/>
                <w:numId w:val="26"/>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план обращения с опасными отходами, включая: </w:t>
            </w:r>
          </w:p>
          <w:p w14:paraId="68B12AEB" w14:textId="77777777" w:rsidR="005A054F" w:rsidRPr="00C04A7D" w:rsidRDefault="005A054F">
            <w:pPr>
              <w:numPr>
                <w:ilvl w:val="1"/>
                <w:numId w:val="26"/>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сульфидсодержащие материалы,</w:t>
            </w:r>
          </w:p>
          <w:p w14:paraId="6FC86411" w14:textId="77777777" w:rsidR="005A054F" w:rsidRPr="00C04A7D" w:rsidRDefault="005A054F">
            <w:pPr>
              <w:numPr>
                <w:ilvl w:val="1"/>
                <w:numId w:val="26"/>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цианидсодержащие остатки ЗИФ</w:t>
            </w:r>
          </w:p>
          <w:p w14:paraId="75B3D330" w14:textId="77777777" w:rsidR="005A054F" w:rsidRPr="00C04A7D" w:rsidRDefault="005A054F" w:rsidP="005330DF">
            <w:pPr>
              <w:spacing w:line="259" w:lineRule="auto"/>
              <w:jc w:val="both"/>
              <w:rPr>
                <w:rFonts w:ascii="Times New Roman" w:hAnsi="Times New Roman" w:cs="Times New Roman"/>
                <w:sz w:val="22"/>
                <w:szCs w:val="22"/>
                <w:lang w:val="ky-KG"/>
              </w:rPr>
            </w:pPr>
          </w:p>
          <w:p w14:paraId="0EB9D1C0" w14:textId="77777777" w:rsidR="005A054F" w:rsidRPr="00C04A7D" w:rsidRDefault="005A054F">
            <w:pPr>
              <w:pStyle w:val="a7"/>
              <w:numPr>
                <w:ilvl w:val="1"/>
                <w:numId w:val="29"/>
              </w:numPr>
              <w:spacing w:after="0" w:line="240" w:lineRule="auto"/>
              <w:ind w:hanging="239"/>
              <w:jc w:val="both"/>
              <w:rPr>
                <w:rFonts w:ascii="Times New Roman" w:hAnsi="Times New Roman" w:cs="Times New Roman"/>
                <w:b/>
                <w:bCs/>
                <w:sz w:val="22"/>
                <w:szCs w:val="22"/>
                <w:lang w:val="ky-KG"/>
              </w:rPr>
            </w:pPr>
            <w:r w:rsidRPr="00C04A7D">
              <w:rPr>
                <w:rFonts w:ascii="Times New Roman" w:hAnsi="Times New Roman" w:cs="Times New Roman"/>
                <w:b/>
                <w:bCs/>
                <w:sz w:val="22"/>
                <w:szCs w:val="22"/>
                <w:lang w:val="ru"/>
              </w:rPr>
              <w:t>Оценка и управление рисками/возможностями</w:t>
            </w:r>
            <w:r w:rsidRPr="00C04A7D" w:rsidDel="00E56E73">
              <w:rPr>
                <w:rFonts w:ascii="Times New Roman" w:hAnsi="Times New Roman" w:cs="Times New Roman"/>
                <w:b/>
                <w:bCs/>
                <w:sz w:val="22"/>
                <w:szCs w:val="22"/>
                <w:lang w:val="ky-KG"/>
              </w:rPr>
              <w:t xml:space="preserve"> </w:t>
            </w:r>
          </w:p>
          <w:p w14:paraId="09B0693A" w14:textId="77777777" w:rsidR="005A054F" w:rsidRPr="00C04A7D" w:rsidRDefault="005A054F" w:rsidP="005330DF">
            <w:pPr>
              <w:ind w:firstLine="720"/>
              <w:jc w:val="both"/>
              <w:rPr>
                <w:rFonts w:ascii="Times New Roman" w:hAnsi="Times New Roman" w:cs="Times New Roman"/>
                <w:sz w:val="22"/>
                <w:szCs w:val="22"/>
              </w:rPr>
            </w:pPr>
            <w:r w:rsidRPr="00C04A7D">
              <w:rPr>
                <w:rFonts w:ascii="Times New Roman" w:hAnsi="Times New Roman" w:cs="Times New Roman"/>
                <w:sz w:val="22"/>
                <w:szCs w:val="22"/>
              </w:rPr>
              <w:t>Консультант должен:</w:t>
            </w:r>
          </w:p>
          <w:p w14:paraId="4FC18B92" w14:textId="77777777" w:rsidR="005A054F" w:rsidRPr="00C04A7D" w:rsidRDefault="005A054F">
            <w:pPr>
              <w:numPr>
                <w:ilvl w:val="0"/>
                <w:numId w:val="27"/>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Провести комплексную оценку рисков, в</w:t>
            </w:r>
            <w:r w:rsidRPr="00C04A7D">
              <w:rPr>
                <w:rFonts w:ascii="Times New Roman" w:hAnsi="Times New Roman" w:cs="Times New Roman"/>
                <w:sz w:val="22"/>
                <w:szCs w:val="22"/>
                <w:lang w:val="ky-KG"/>
              </w:rPr>
              <w:t xml:space="preserve"> том числе</w:t>
            </w:r>
            <w:r w:rsidRPr="00C04A7D">
              <w:rPr>
                <w:rFonts w:ascii="Times New Roman" w:hAnsi="Times New Roman" w:cs="Times New Roman"/>
                <w:sz w:val="22"/>
                <w:szCs w:val="22"/>
                <w:lang w:val="ru-RU"/>
              </w:rPr>
              <w:t xml:space="preserve">: </w:t>
            </w:r>
          </w:p>
          <w:p w14:paraId="4F142E0A" w14:textId="77777777" w:rsidR="005A054F" w:rsidRPr="00C04A7D" w:rsidRDefault="005A054F">
            <w:pPr>
              <w:pStyle w:val="a7"/>
              <w:numPr>
                <w:ilvl w:val="0"/>
                <w:numId w:val="28"/>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загрязнение водных, земельных ресурсов и атмосферного воздуха;</w:t>
            </w:r>
          </w:p>
          <w:p w14:paraId="543712D8" w14:textId="77777777" w:rsidR="005A054F" w:rsidRPr="00C04A7D" w:rsidRDefault="005A054F">
            <w:pPr>
              <w:pStyle w:val="a7"/>
              <w:numPr>
                <w:ilvl w:val="0"/>
                <w:numId w:val="28"/>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эрозию почв;</w:t>
            </w:r>
          </w:p>
          <w:p w14:paraId="5FDAC0CF" w14:textId="77777777" w:rsidR="005A054F" w:rsidRPr="00C04A7D" w:rsidRDefault="005A054F">
            <w:pPr>
              <w:pStyle w:val="a7"/>
              <w:numPr>
                <w:ilvl w:val="0"/>
                <w:numId w:val="28"/>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риски для биоразнообразия;</w:t>
            </w:r>
          </w:p>
          <w:p w14:paraId="6623A4F5" w14:textId="77777777" w:rsidR="005A054F" w:rsidRPr="00C04A7D" w:rsidRDefault="005A054F">
            <w:pPr>
              <w:pStyle w:val="a7"/>
              <w:numPr>
                <w:ilvl w:val="0"/>
                <w:numId w:val="28"/>
              </w:numPr>
              <w:spacing w:after="0" w:line="240" w:lineRule="auto"/>
              <w:jc w:val="both"/>
              <w:rPr>
                <w:rFonts w:ascii="Times New Roman" w:hAnsi="Times New Roman" w:cs="Times New Roman"/>
                <w:sz w:val="22"/>
                <w:szCs w:val="22"/>
              </w:rPr>
            </w:pPr>
            <w:r w:rsidRPr="00C04A7D">
              <w:rPr>
                <w:rFonts w:ascii="Times New Roman" w:hAnsi="Times New Roman" w:cs="Times New Roman"/>
                <w:sz w:val="22"/>
                <w:szCs w:val="22"/>
              </w:rPr>
              <w:t>аварийные сценарии.</w:t>
            </w:r>
          </w:p>
          <w:p w14:paraId="007C2A18" w14:textId="77777777" w:rsidR="005A054F" w:rsidRPr="00C04A7D" w:rsidRDefault="005A054F">
            <w:pPr>
              <w:numPr>
                <w:ilvl w:val="0"/>
                <w:numId w:val="27"/>
              </w:numPr>
              <w:spacing w:after="0" w:line="240"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RU"/>
              </w:rPr>
              <w:t>Включить карту рисков и матрицу рисков.</w:t>
            </w:r>
          </w:p>
          <w:p w14:paraId="36677B17" w14:textId="77777777" w:rsidR="005A054F" w:rsidRPr="00C04A7D" w:rsidRDefault="005A054F">
            <w:pPr>
              <w:numPr>
                <w:ilvl w:val="0"/>
                <w:numId w:val="27"/>
              </w:numPr>
              <w:spacing w:after="0" w:line="240" w:lineRule="auto"/>
              <w:jc w:val="both"/>
              <w:rPr>
                <w:rFonts w:ascii="Times New Roman" w:hAnsi="Times New Roman" w:cs="Times New Roman"/>
                <w:sz w:val="22"/>
                <w:szCs w:val="22"/>
                <w:lang w:val="ky-KG"/>
              </w:rPr>
            </w:pPr>
            <w:r w:rsidRPr="00C04A7D">
              <w:rPr>
                <w:rFonts w:ascii="Times New Roman" w:hAnsi="Times New Roman" w:cs="Times New Roman"/>
                <w:sz w:val="22"/>
                <w:szCs w:val="22"/>
                <w:lang w:val="ru-RU"/>
              </w:rPr>
              <w:t>Разработать план экологического реагирования при выявлении отклонений в мониторинге.</w:t>
            </w:r>
          </w:p>
        </w:tc>
      </w:tr>
      <w:tr w:rsidR="005A054F" w:rsidRPr="001E70DD" w14:paraId="7A629B2C" w14:textId="77777777" w:rsidTr="005330DF">
        <w:tblPrEx>
          <w:tblLook w:val="0000" w:firstRow="0" w:lastRow="0" w:firstColumn="0" w:lastColumn="0" w:noHBand="0" w:noVBand="0"/>
        </w:tblPrEx>
        <w:trPr>
          <w:trHeight w:val="1511"/>
        </w:trPr>
        <w:tc>
          <w:tcPr>
            <w:tcW w:w="339" w:type="pct"/>
          </w:tcPr>
          <w:p w14:paraId="3A48AD7A"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lastRenderedPageBreak/>
              <w:t>7</w:t>
            </w:r>
          </w:p>
        </w:tc>
        <w:tc>
          <w:tcPr>
            <w:tcW w:w="1006" w:type="pct"/>
          </w:tcPr>
          <w:p w14:paraId="1133FB16" w14:textId="77777777" w:rsidR="005A054F" w:rsidRPr="00C04A7D" w:rsidRDefault="005A054F" w:rsidP="005330DF">
            <w:pPr>
              <w:rPr>
                <w:rFonts w:ascii="Times New Roman" w:hAnsi="Times New Roman" w:cs="Times New Roman"/>
                <w:sz w:val="22"/>
                <w:szCs w:val="22"/>
              </w:rPr>
            </w:pPr>
            <w:r w:rsidRPr="00C04A7D">
              <w:rPr>
                <w:rFonts w:ascii="Times New Roman" w:hAnsi="Times New Roman" w:cs="Times New Roman"/>
                <w:sz w:val="22"/>
                <w:szCs w:val="22"/>
              </w:rPr>
              <w:t xml:space="preserve">Дополнительные требование </w:t>
            </w:r>
          </w:p>
        </w:tc>
        <w:tc>
          <w:tcPr>
            <w:tcW w:w="3655" w:type="pct"/>
          </w:tcPr>
          <w:p w14:paraId="123445B3" w14:textId="77777777" w:rsidR="005A054F" w:rsidRPr="00C04A7D" w:rsidRDefault="005A054F">
            <w:pPr>
              <w:numPr>
                <w:ilvl w:val="0"/>
                <w:numId w:val="13"/>
              </w:numPr>
              <w:spacing w:after="0" w:line="240" w:lineRule="auto"/>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В случае нарушения сроков выполнения работ или несоответствия качества установленным требованиям, Заказчик вправе применить меры ответственности к Консультанту, включая штрафные санкции, предусмотренные договором. Применение санкций не освобождает Консультанта от обязательств по завершению работ и устранению </w:t>
            </w:r>
            <w:r w:rsidRPr="00C04A7D">
              <w:rPr>
                <w:rFonts w:ascii="Times New Roman" w:hAnsi="Times New Roman" w:cs="Times New Roman"/>
                <w:sz w:val="22"/>
                <w:szCs w:val="22"/>
                <w:lang w:val="ky-KG"/>
              </w:rPr>
              <w:t>замечаний</w:t>
            </w:r>
            <w:r w:rsidRPr="00C04A7D">
              <w:rPr>
                <w:rFonts w:ascii="Times New Roman" w:hAnsi="Times New Roman" w:cs="Times New Roman"/>
                <w:sz w:val="22"/>
                <w:szCs w:val="22"/>
                <w:lang w:val="ru-RU"/>
              </w:rPr>
              <w:t>.</w:t>
            </w:r>
          </w:p>
        </w:tc>
      </w:tr>
      <w:tr w:rsidR="005A054F" w:rsidRPr="001E70DD" w14:paraId="254ED901" w14:textId="77777777" w:rsidTr="005330DF">
        <w:tblPrEx>
          <w:tblLook w:val="0000" w:firstRow="0" w:lastRow="0" w:firstColumn="0" w:lastColumn="0" w:noHBand="0" w:noVBand="0"/>
        </w:tblPrEx>
        <w:trPr>
          <w:trHeight w:val="620"/>
        </w:trPr>
        <w:tc>
          <w:tcPr>
            <w:tcW w:w="339" w:type="pct"/>
          </w:tcPr>
          <w:p w14:paraId="33E7DB33"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t>8</w:t>
            </w:r>
          </w:p>
        </w:tc>
        <w:tc>
          <w:tcPr>
            <w:tcW w:w="1006" w:type="pct"/>
          </w:tcPr>
          <w:p w14:paraId="60D102E0" w14:textId="77777777" w:rsidR="005A054F" w:rsidRPr="00C04A7D" w:rsidRDefault="005A054F" w:rsidP="005330DF">
            <w:pPr>
              <w:rPr>
                <w:rFonts w:ascii="Times New Roman" w:hAnsi="Times New Roman" w:cs="Times New Roman"/>
                <w:sz w:val="22"/>
                <w:szCs w:val="22"/>
                <w:lang w:val="ky-KG"/>
              </w:rPr>
            </w:pPr>
            <w:r w:rsidRPr="00C04A7D">
              <w:rPr>
                <w:rFonts w:ascii="Times New Roman" w:hAnsi="Times New Roman" w:cs="Times New Roman"/>
                <w:sz w:val="22"/>
                <w:szCs w:val="22"/>
              </w:rPr>
              <w:t>Требования к проектной документации</w:t>
            </w:r>
          </w:p>
        </w:tc>
        <w:tc>
          <w:tcPr>
            <w:tcW w:w="3655" w:type="pct"/>
          </w:tcPr>
          <w:p w14:paraId="4D6832ED" w14:textId="77777777" w:rsidR="005A054F" w:rsidRPr="00C04A7D" w:rsidRDefault="005A054F">
            <w:pPr>
              <w:pStyle w:val="a7"/>
              <w:numPr>
                <w:ilvl w:val="0"/>
                <w:numId w:val="12"/>
              </w:numPr>
              <w:spacing w:after="0" w:line="240" w:lineRule="auto"/>
              <w:contextualSpacing w:val="0"/>
              <w:rPr>
                <w:rFonts w:ascii="Times New Roman" w:hAnsi="Times New Roman" w:cs="Times New Roman"/>
                <w:sz w:val="22"/>
                <w:szCs w:val="22"/>
                <w:lang w:val="ru-RU"/>
              </w:rPr>
            </w:pPr>
            <w:r w:rsidRPr="00C04A7D">
              <w:rPr>
                <w:rFonts w:ascii="Times New Roman" w:hAnsi="Times New Roman" w:cs="Times New Roman"/>
                <w:sz w:val="22"/>
                <w:szCs w:val="22"/>
                <w:lang w:val="ru-RU"/>
              </w:rPr>
              <w:t>Коммерческое предложение должно быть достаточно подробным</w:t>
            </w:r>
            <w:r w:rsidRPr="00C04A7D">
              <w:rPr>
                <w:rFonts w:ascii="Times New Roman" w:hAnsi="Times New Roman" w:cs="Times New Roman"/>
                <w:sz w:val="22"/>
                <w:szCs w:val="22"/>
                <w:lang w:val="ky-KG"/>
              </w:rPr>
              <w:t>.</w:t>
            </w:r>
          </w:p>
          <w:p w14:paraId="317688FD" w14:textId="77777777" w:rsidR="005A054F" w:rsidRPr="00C04A7D" w:rsidRDefault="005A054F">
            <w:pPr>
              <w:pStyle w:val="a7"/>
              <w:numPr>
                <w:ilvl w:val="0"/>
                <w:numId w:val="12"/>
              </w:numPr>
              <w:spacing w:after="0" w:line="240" w:lineRule="auto"/>
              <w:contextualSpacing w:val="0"/>
              <w:rPr>
                <w:rFonts w:ascii="Times New Roman" w:hAnsi="Times New Roman" w:cs="Times New Roman"/>
                <w:sz w:val="22"/>
                <w:szCs w:val="22"/>
              </w:rPr>
            </w:pPr>
            <w:r w:rsidRPr="00C04A7D">
              <w:rPr>
                <w:rFonts w:ascii="Times New Roman" w:hAnsi="Times New Roman" w:cs="Times New Roman"/>
                <w:sz w:val="22"/>
                <w:szCs w:val="22"/>
                <w:lang w:val="ru-RU"/>
              </w:rPr>
              <w:t xml:space="preserve">Консультант (подрядчик) предоставляет смету по каждому пункту вышеуказанных объемов работ. Заказчик вправе исключить или добавить те или иные пункты по объемам работ до или после заключения контракта, которые были выполнены силами и за счет Заказчика. </w:t>
            </w:r>
            <w:r w:rsidRPr="00C04A7D">
              <w:rPr>
                <w:rFonts w:ascii="Times New Roman" w:hAnsi="Times New Roman" w:cs="Times New Roman"/>
                <w:sz w:val="22"/>
                <w:szCs w:val="22"/>
              </w:rPr>
              <w:t>Указать необходимые сроки по каждому объему работ.</w:t>
            </w:r>
          </w:p>
          <w:p w14:paraId="2B72120D" w14:textId="77777777" w:rsidR="005A054F" w:rsidRPr="00C04A7D" w:rsidRDefault="005A054F">
            <w:pPr>
              <w:pStyle w:val="a7"/>
              <w:numPr>
                <w:ilvl w:val="0"/>
                <w:numId w:val="12"/>
              </w:numPr>
              <w:spacing w:after="0" w:line="240" w:lineRule="auto"/>
              <w:contextualSpacing w:val="0"/>
              <w:rPr>
                <w:rFonts w:ascii="Times New Roman" w:hAnsi="Times New Roman" w:cs="Times New Roman"/>
                <w:sz w:val="22"/>
                <w:szCs w:val="22"/>
                <w:lang w:val="ru-RU"/>
              </w:rPr>
            </w:pPr>
            <w:r w:rsidRPr="00C04A7D">
              <w:rPr>
                <w:rFonts w:ascii="Times New Roman" w:hAnsi="Times New Roman" w:cs="Times New Roman"/>
                <w:sz w:val="22"/>
                <w:szCs w:val="22"/>
                <w:lang w:val="ru-RU"/>
              </w:rPr>
              <w:t>До начала выполнения работ Консультант обязан предоставить полный пакет разрешительных документов, подтверждающих право на осуществление соответствующей деятельности.</w:t>
            </w:r>
          </w:p>
          <w:p w14:paraId="522B42C8" w14:textId="77777777" w:rsidR="005A054F" w:rsidRPr="00C04A7D" w:rsidRDefault="005A054F" w:rsidP="005330DF">
            <w:pPr>
              <w:ind w:firstLine="72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Предложение должно быть отправлено в электронном формате по электронной почте на адрес </w:t>
            </w:r>
            <w:r w:rsidRPr="00C04A7D">
              <w:rPr>
                <w:rFonts w:ascii="Times New Roman" w:hAnsi="Times New Roman" w:cs="Times New Roman"/>
                <w:sz w:val="22"/>
                <w:szCs w:val="22"/>
                <w:lang w:val="ky-KG"/>
              </w:rPr>
              <w:t xml:space="preserve"> </w:t>
            </w:r>
            <w:hyperlink r:id="rId11" w:history="1">
              <w:r w:rsidRPr="00C04A7D">
                <w:rPr>
                  <w:rStyle w:val="ad"/>
                  <w:rFonts w:ascii="Times New Roman" w:hAnsi="Times New Roman" w:cs="Times New Roman"/>
                  <w:color w:val="auto"/>
                  <w:sz w:val="22"/>
                  <w:szCs w:val="22"/>
                  <w:u w:val="none"/>
                  <w:lang w:val="ru"/>
                </w:rPr>
                <w:t>отделу</w:t>
              </w:r>
            </w:hyperlink>
            <w:r w:rsidRPr="00C04A7D">
              <w:rPr>
                <w:rFonts w:ascii="Times New Roman" w:hAnsi="Times New Roman" w:cs="Times New Roman"/>
                <w:sz w:val="22"/>
                <w:szCs w:val="22"/>
                <w:lang w:val="ky-KG"/>
              </w:rPr>
              <w:t xml:space="preserve"> МТС</w:t>
            </w:r>
            <w:r w:rsidRPr="00C04A7D">
              <w:rPr>
                <w:rFonts w:ascii="Times New Roman" w:hAnsi="Times New Roman" w:cs="Times New Roman"/>
                <w:sz w:val="22"/>
                <w:szCs w:val="22"/>
                <w:lang w:val="ru"/>
              </w:rPr>
              <w:t xml:space="preserve"> до конца рабочего дня (по кыргызскому времени) </w:t>
            </w:r>
            <w:r w:rsidRPr="00C04A7D">
              <w:rPr>
                <w:rFonts w:ascii="Times New Roman" w:hAnsi="Times New Roman" w:cs="Times New Roman"/>
                <w:sz w:val="22"/>
                <w:szCs w:val="22"/>
                <w:lang w:val="ru-RU"/>
              </w:rPr>
              <w:t xml:space="preserve">15 </w:t>
            </w:r>
            <w:r w:rsidRPr="00C04A7D">
              <w:rPr>
                <w:rFonts w:ascii="Times New Roman" w:hAnsi="Times New Roman" w:cs="Times New Roman"/>
                <w:sz w:val="22"/>
                <w:szCs w:val="22"/>
                <w:lang w:val="ky-KG"/>
              </w:rPr>
              <w:t>мая 2026 года</w:t>
            </w:r>
            <w:r w:rsidRPr="00C04A7D">
              <w:rPr>
                <w:rFonts w:ascii="Times New Roman" w:hAnsi="Times New Roman" w:cs="Times New Roman"/>
                <w:sz w:val="22"/>
                <w:szCs w:val="22"/>
                <w:u w:val="single"/>
                <w:lang w:val="ru"/>
              </w:rPr>
              <w:t>.</w:t>
            </w:r>
            <w:r w:rsidRPr="00C04A7D">
              <w:rPr>
                <w:rFonts w:ascii="Times New Roman" w:hAnsi="Times New Roman" w:cs="Times New Roman"/>
                <w:sz w:val="22"/>
                <w:szCs w:val="22"/>
                <w:lang w:val="ru"/>
              </w:rPr>
              <w:t xml:space="preserve"> Предложения, полученные после этого срока, рассматриваться не будут.</w:t>
            </w:r>
          </w:p>
          <w:p w14:paraId="60ADC620" w14:textId="77777777" w:rsidR="005A054F" w:rsidRPr="00C04A7D" w:rsidRDefault="005A054F" w:rsidP="005330DF">
            <w:pPr>
              <w:ind w:firstLine="360"/>
              <w:jc w:val="both"/>
              <w:rPr>
                <w:rFonts w:ascii="Times New Roman" w:hAnsi="Times New Roman" w:cs="Times New Roman"/>
                <w:sz w:val="22"/>
                <w:szCs w:val="22"/>
                <w:lang w:val="ru"/>
              </w:rPr>
            </w:pPr>
            <w:r w:rsidRPr="00C04A7D">
              <w:rPr>
                <w:rFonts w:ascii="Times New Roman" w:hAnsi="Times New Roman" w:cs="Times New Roman"/>
                <w:sz w:val="22"/>
                <w:szCs w:val="22"/>
                <w:lang w:val="ru"/>
              </w:rPr>
              <w:t>Консультанту также рекомендуется прокомментировать вышеупомянутый Объем работ и включить свои предложения, которые будут способствовать улучшению конечного результата и/или снижению затрат. Консультант должен представить в своем предложении:</w:t>
            </w:r>
          </w:p>
          <w:p w14:paraId="0596A0CE" w14:textId="77777777" w:rsidR="005A054F" w:rsidRPr="00C04A7D" w:rsidRDefault="005A054F" w:rsidP="005330DF">
            <w:pPr>
              <w:ind w:firstLine="360"/>
              <w:jc w:val="both"/>
              <w:rPr>
                <w:rFonts w:ascii="Times New Roman" w:hAnsi="Times New Roman" w:cs="Times New Roman"/>
                <w:sz w:val="22"/>
                <w:szCs w:val="22"/>
              </w:rPr>
            </w:pPr>
          </w:p>
          <w:p w14:paraId="7EA3B6E1" w14:textId="77777777" w:rsidR="005A054F" w:rsidRPr="00C04A7D" w:rsidRDefault="005A054F">
            <w:pPr>
              <w:pStyle w:val="a7"/>
              <w:numPr>
                <w:ilvl w:val="0"/>
                <w:numId w:val="25"/>
              </w:numPr>
              <w:spacing w:line="259" w:lineRule="auto"/>
              <w:jc w:val="both"/>
              <w:rPr>
                <w:rFonts w:ascii="Times New Roman" w:hAnsi="Times New Roman" w:cs="Times New Roman"/>
                <w:sz w:val="22"/>
                <w:szCs w:val="22"/>
                <w:lang w:val="ru-RU"/>
              </w:rPr>
            </w:pPr>
            <w:r w:rsidRPr="00C04A7D">
              <w:rPr>
                <w:rFonts w:ascii="Times New Roman" w:hAnsi="Times New Roman" w:cs="Times New Roman"/>
                <w:b/>
                <w:sz w:val="22"/>
                <w:szCs w:val="22"/>
                <w:lang w:val="ru"/>
              </w:rPr>
              <w:t>Цели проекта</w:t>
            </w:r>
            <w:r w:rsidRPr="00C04A7D">
              <w:rPr>
                <w:rFonts w:ascii="Times New Roman" w:hAnsi="Times New Roman" w:cs="Times New Roman"/>
                <w:sz w:val="22"/>
                <w:szCs w:val="22"/>
                <w:lang w:val="ru"/>
              </w:rPr>
              <w:t xml:space="preserve"> - краткое изложение цели, задач и результатов предлагаемых услуг, а также объема услуг, запрашиваемых Кумтором - четкое определение любых предлагаемых поправок, вариаций или предложений.</w:t>
            </w:r>
          </w:p>
          <w:p w14:paraId="69ABD0D8" w14:textId="77777777" w:rsidR="005A054F" w:rsidRPr="00C04A7D" w:rsidRDefault="005A054F" w:rsidP="005330DF">
            <w:pPr>
              <w:pStyle w:val="a7"/>
              <w:spacing w:line="259" w:lineRule="auto"/>
              <w:jc w:val="both"/>
              <w:rPr>
                <w:rFonts w:ascii="Times New Roman" w:hAnsi="Times New Roman" w:cs="Times New Roman"/>
                <w:sz w:val="22"/>
                <w:szCs w:val="22"/>
                <w:lang w:val="ru-RU"/>
              </w:rPr>
            </w:pPr>
          </w:p>
          <w:p w14:paraId="7F77D917" w14:textId="77777777" w:rsidR="005A054F" w:rsidRPr="00C04A7D" w:rsidRDefault="005A054F">
            <w:pPr>
              <w:pStyle w:val="a7"/>
              <w:numPr>
                <w:ilvl w:val="0"/>
                <w:numId w:val="25"/>
              </w:numPr>
              <w:spacing w:line="259" w:lineRule="auto"/>
              <w:jc w:val="both"/>
              <w:rPr>
                <w:rFonts w:ascii="Times New Roman" w:hAnsi="Times New Roman" w:cs="Times New Roman"/>
                <w:sz w:val="22"/>
                <w:szCs w:val="22"/>
                <w:lang w:val="ru-RU"/>
              </w:rPr>
            </w:pPr>
            <w:r w:rsidRPr="00C04A7D">
              <w:rPr>
                <w:rFonts w:ascii="Times New Roman" w:hAnsi="Times New Roman" w:cs="Times New Roman"/>
                <w:b/>
                <w:sz w:val="22"/>
                <w:szCs w:val="22"/>
                <w:lang w:val="ru"/>
              </w:rPr>
              <w:t>Опыт компании</w:t>
            </w:r>
            <w:r w:rsidRPr="00C04A7D">
              <w:rPr>
                <w:rFonts w:ascii="Times New Roman" w:hAnsi="Times New Roman" w:cs="Times New Roman"/>
                <w:sz w:val="22"/>
                <w:szCs w:val="22"/>
                <w:lang w:val="ru"/>
              </w:rPr>
              <w:t xml:space="preserve"> - перечисление непосредственного опыта планирования вывода из эксплуатации. Подробная информация о завершенных проектах должна включать название, даты, имя заказчика, местоположение и финансовую стоимость вклада Консультанта. </w:t>
            </w:r>
          </w:p>
          <w:p w14:paraId="33D03367" w14:textId="77777777" w:rsidR="005A054F" w:rsidRPr="00C04A7D" w:rsidRDefault="005A054F" w:rsidP="005330DF">
            <w:pPr>
              <w:spacing w:line="259" w:lineRule="auto"/>
              <w:jc w:val="both"/>
              <w:rPr>
                <w:rFonts w:ascii="Times New Roman" w:hAnsi="Times New Roman" w:cs="Times New Roman"/>
                <w:sz w:val="22"/>
                <w:szCs w:val="22"/>
                <w:lang w:val="ky-KG"/>
              </w:rPr>
            </w:pPr>
          </w:p>
          <w:p w14:paraId="5550CD8F" w14:textId="77777777" w:rsidR="005A054F" w:rsidRPr="00C04A7D" w:rsidRDefault="005A054F">
            <w:pPr>
              <w:pStyle w:val="a7"/>
              <w:numPr>
                <w:ilvl w:val="0"/>
                <w:numId w:val="2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Предлагаемый </w:t>
            </w:r>
            <w:r w:rsidRPr="00C04A7D">
              <w:rPr>
                <w:rFonts w:ascii="Times New Roman" w:hAnsi="Times New Roman" w:cs="Times New Roman"/>
                <w:b/>
                <w:sz w:val="22"/>
                <w:szCs w:val="22"/>
                <w:lang w:val="ru"/>
              </w:rPr>
              <w:t>ключевой персонал</w:t>
            </w:r>
            <w:r w:rsidRPr="00C04A7D">
              <w:rPr>
                <w:rFonts w:ascii="Times New Roman" w:hAnsi="Times New Roman" w:cs="Times New Roman"/>
                <w:sz w:val="22"/>
                <w:szCs w:val="22"/>
                <w:lang w:val="ru"/>
              </w:rPr>
              <w:t xml:space="preserve"> (включая подрядчиков) - перечисление кратких биографических данных, описание ролей и обязанностей каждого сотрудника в данном задании, включая квалификацию, знания и опыт. В Приложении Консультант должен предоставить подробные резюме всего профессионального персонала, содержащие следующие данные: (а) имя, возраст, гражданство и должность; (б) образование и профессиональная квалификация; (в) соответствующий опыт (с указанием местоположения и названия учреждения, обязанностей, ответственности, дат и продолжительности работы в порядке обратной хронологии); (г) другой профессиональный опыт (включая публикации); (д) умение говорить, читать и писать на английском и русском языках; (е) аттестация с датой и подписью. </w:t>
            </w:r>
          </w:p>
          <w:p w14:paraId="17EACA4F" w14:textId="77777777" w:rsidR="005A054F" w:rsidRPr="00C04A7D" w:rsidRDefault="005A054F" w:rsidP="005330DF">
            <w:pPr>
              <w:spacing w:line="259" w:lineRule="auto"/>
              <w:jc w:val="both"/>
              <w:rPr>
                <w:rFonts w:ascii="Times New Roman" w:hAnsi="Times New Roman" w:cs="Times New Roman"/>
                <w:sz w:val="22"/>
                <w:szCs w:val="22"/>
                <w:lang w:val="ky-KG"/>
              </w:rPr>
            </w:pPr>
          </w:p>
          <w:p w14:paraId="255FE6A2" w14:textId="77777777" w:rsidR="005A054F" w:rsidRPr="00C04A7D" w:rsidRDefault="005A054F">
            <w:pPr>
              <w:pStyle w:val="a7"/>
              <w:numPr>
                <w:ilvl w:val="0"/>
                <w:numId w:val="25"/>
              </w:numPr>
              <w:spacing w:line="259" w:lineRule="auto"/>
              <w:jc w:val="both"/>
              <w:rPr>
                <w:rFonts w:ascii="Times New Roman" w:hAnsi="Times New Roman" w:cs="Times New Roman"/>
                <w:sz w:val="22"/>
                <w:szCs w:val="22"/>
              </w:rPr>
            </w:pPr>
            <w:r w:rsidRPr="00C04A7D">
              <w:rPr>
                <w:rFonts w:ascii="Times New Roman" w:hAnsi="Times New Roman" w:cs="Times New Roman"/>
                <w:b/>
                <w:sz w:val="22"/>
                <w:szCs w:val="22"/>
                <w:lang w:val="ru"/>
              </w:rPr>
              <w:t>Подробный бюджет</w:t>
            </w:r>
            <w:r w:rsidRPr="00C04A7D">
              <w:rPr>
                <w:rFonts w:ascii="Times New Roman" w:hAnsi="Times New Roman" w:cs="Times New Roman"/>
                <w:sz w:val="22"/>
                <w:szCs w:val="22"/>
                <w:lang w:val="ru"/>
              </w:rPr>
              <w:t xml:space="preserve"> в долларах США ($) для предлагаемых рабочих программ с указанием расчетных трудозатрат, ставок профессионального персонала, ставок вспомогательного персонала, расчетных возмещаемых расходов, выплат и любых применимых надбавок. Достаточная детализация должна включать разбивку задач с указанием часов и ставок персонала и сметы расходов. Любые допущения, сделанные Консультантом для оценки бюджета, должны быть четко изложены. Консультант также должен включить в соответствующие разделы предложения все требования по управлению проектом, включая материально-техническую поддержку, не предоставляемую КГК, отчетность и связь с руководством КГК и любыми внешними группами. Следует предусмотреть 2 визита в Кыргызстан/рудник Кумтор. </w:t>
            </w:r>
          </w:p>
          <w:p w14:paraId="6B1F9596" w14:textId="77777777" w:rsidR="005A054F" w:rsidRPr="00C04A7D" w:rsidRDefault="005A054F" w:rsidP="005330DF">
            <w:pPr>
              <w:spacing w:line="259" w:lineRule="auto"/>
              <w:jc w:val="both"/>
              <w:rPr>
                <w:rFonts w:ascii="Times New Roman" w:hAnsi="Times New Roman" w:cs="Times New Roman"/>
                <w:sz w:val="22"/>
                <w:szCs w:val="22"/>
                <w:lang w:val="ky-KG"/>
              </w:rPr>
            </w:pPr>
          </w:p>
          <w:p w14:paraId="35BA994C" w14:textId="77777777" w:rsidR="005A054F" w:rsidRPr="00C04A7D" w:rsidRDefault="005A054F">
            <w:pPr>
              <w:pStyle w:val="a7"/>
              <w:numPr>
                <w:ilvl w:val="0"/>
                <w:numId w:val="25"/>
              </w:numPr>
              <w:spacing w:line="259" w:lineRule="auto"/>
              <w:jc w:val="both"/>
              <w:rPr>
                <w:rFonts w:ascii="Times New Roman" w:hAnsi="Times New Roman" w:cs="Times New Roman"/>
                <w:sz w:val="22"/>
                <w:szCs w:val="22"/>
                <w:lang w:val="ru-RU"/>
              </w:rPr>
            </w:pPr>
            <w:r w:rsidRPr="00C04A7D">
              <w:rPr>
                <w:rFonts w:ascii="Times New Roman" w:hAnsi="Times New Roman" w:cs="Times New Roman"/>
                <w:b/>
                <w:sz w:val="22"/>
                <w:szCs w:val="22"/>
                <w:lang w:val="ru"/>
              </w:rPr>
              <w:t>Подробный график/план работ</w:t>
            </w:r>
            <w:r w:rsidRPr="00C04A7D">
              <w:rPr>
                <w:rFonts w:ascii="Times New Roman" w:hAnsi="Times New Roman" w:cs="Times New Roman"/>
                <w:sz w:val="22"/>
                <w:szCs w:val="22"/>
                <w:lang w:val="ru"/>
              </w:rPr>
              <w:t xml:space="preserve"> по проекту (диаграмма Ганта), основанный на мобилизации на неделе, начинающейся 1 июля 2026 года или ранее, включая ключевые этапы для завершения каждой из предложенных фаз и подготовки всех </w:t>
            </w:r>
            <w:r w:rsidRPr="00C04A7D">
              <w:rPr>
                <w:rFonts w:ascii="Times New Roman" w:hAnsi="Times New Roman" w:cs="Times New Roman"/>
                <w:sz w:val="22"/>
                <w:szCs w:val="22"/>
                <w:lang w:val="ru"/>
              </w:rPr>
              <w:lastRenderedPageBreak/>
              <w:t xml:space="preserve">результатов к 1 ноябрю 2026 года. Диаграмма Ганта должна показывать сроки и продолжительность выполнения задач и подзадач, сроки предоставления отчетов, этапы, точки принятия решений заказчиком и критический путь в течение максимум восьми месяцев. Консультант также должен включить оценку человеко-дней, предлагаемых для выполнения услуг по задачам и подзадачам, с четким указанием периодов, в течение которых персонал будет находиться на руднике в Кыргызской Республике и в офисе своей компании. После переговоров количество человеко-дней будет определено договором и может быть превышено только с предварительного письменного согласия Кумтора. Любые допущения, сделанные Консультантом при составлении графика, должны быть четко изложены, а график должен предусматривать все необходимые координационные звонки и обзорные совещания с КГК. </w:t>
            </w:r>
          </w:p>
          <w:p w14:paraId="5297D18C" w14:textId="77777777" w:rsidR="005A054F" w:rsidRPr="00C04A7D" w:rsidRDefault="005A054F">
            <w:pPr>
              <w:pStyle w:val="a7"/>
              <w:numPr>
                <w:ilvl w:val="0"/>
                <w:numId w:val="25"/>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Предлагаемый </w:t>
            </w:r>
            <w:r w:rsidRPr="00C04A7D">
              <w:rPr>
                <w:rFonts w:ascii="Times New Roman" w:hAnsi="Times New Roman" w:cs="Times New Roman"/>
                <w:b/>
                <w:sz w:val="22"/>
                <w:szCs w:val="22"/>
                <w:lang w:val="ru"/>
              </w:rPr>
              <w:t>проект содержания</w:t>
            </w:r>
            <w:r w:rsidRPr="00C04A7D">
              <w:rPr>
                <w:rFonts w:ascii="Times New Roman" w:hAnsi="Times New Roman" w:cs="Times New Roman"/>
                <w:sz w:val="22"/>
                <w:szCs w:val="22"/>
                <w:lang w:val="ru"/>
              </w:rPr>
              <w:t xml:space="preserve"> КПВРЭ КГК с кратким описанием каждого раздела/главы.</w:t>
            </w:r>
          </w:p>
        </w:tc>
      </w:tr>
      <w:tr w:rsidR="005A054F" w:rsidRPr="001E70DD" w14:paraId="7E53288A" w14:textId="77777777" w:rsidTr="005330DF">
        <w:tblPrEx>
          <w:tblLook w:val="0000" w:firstRow="0" w:lastRow="0" w:firstColumn="0" w:lastColumn="0" w:noHBand="0" w:noVBand="0"/>
        </w:tblPrEx>
        <w:trPr>
          <w:trHeight w:val="4400"/>
        </w:trPr>
        <w:tc>
          <w:tcPr>
            <w:tcW w:w="339" w:type="pct"/>
          </w:tcPr>
          <w:p w14:paraId="5CE7B97A"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lastRenderedPageBreak/>
              <w:t>9</w:t>
            </w:r>
          </w:p>
        </w:tc>
        <w:tc>
          <w:tcPr>
            <w:tcW w:w="1006" w:type="pct"/>
          </w:tcPr>
          <w:p w14:paraId="40C36D6A" w14:textId="77777777" w:rsidR="005A054F" w:rsidRPr="00C04A7D" w:rsidRDefault="005A054F" w:rsidP="005330DF">
            <w:pPr>
              <w:rPr>
                <w:rFonts w:ascii="Times New Roman" w:hAnsi="Times New Roman" w:cs="Times New Roman"/>
                <w:sz w:val="22"/>
                <w:szCs w:val="22"/>
                <w:lang w:val="ky-KG"/>
              </w:rPr>
            </w:pPr>
            <w:r w:rsidRPr="00C04A7D">
              <w:rPr>
                <w:rFonts w:ascii="Times New Roman" w:hAnsi="Times New Roman" w:cs="Times New Roman"/>
                <w:sz w:val="22"/>
                <w:szCs w:val="22"/>
              </w:rPr>
              <w:t>Требования к оформлению документов</w:t>
            </w:r>
          </w:p>
          <w:p w14:paraId="24494B29" w14:textId="77777777" w:rsidR="005A054F" w:rsidRPr="00C04A7D" w:rsidRDefault="005A054F" w:rsidP="005330DF">
            <w:pPr>
              <w:rPr>
                <w:rFonts w:ascii="Times New Roman" w:hAnsi="Times New Roman" w:cs="Times New Roman"/>
                <w:sz w:val="22"/>
                <w:szCs w:val="22"/>
              </w:rPr>
            </w:pPr>
          </w:p>
        </w:tc>
        <w:tc>
          <w:tcPr>
            <w:tcW w:w="3655" w:type="pct"/>
          </w:tcPr>
          <w:p w14:paraId="2AD51A98" w14:textId="77777777" w:rsidR="005A054F" w:rsidRPr="00C04A7D" w:rsidRDefault="005A054F">
            <w:pPr>
              <w:pStyle w:val="a7"/>
              <w:numPr>
                <w:ilvl w:val="0"/>
                <w:numId w:val="21"/>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Электронные результаты должны быть представлены в редактируемых форматах Microsoft Office® (например, Word, Excel, Project, PowerPoint и т. д.). Все карты и пространственные данные должны быть предоставлены в формате ГИС, совместимом с MapInfo. </w:t>
            </w:r>
            <w:r w:rsidRPr="00C04A7D">
              <w:rPr>
                <w:rFonts w:ascii="Times New Roman" w:hAnsi="Times New Roman" w:cs="Times New Roman"/>
                <w:sz w:val="22"/>
                <w:szCs w:val="22"/>
                <w:lang w:val="ky-KG"/>
              </w:rPr>
              <w:t xml:space="preserve">а также в формате </w:t>
            </w:r>
            <w:r w:rsidRPr="00C04A7D">
              <w:rPr>
                <w:rFonts w:ascii="Times New Roman" w:hAnsi="Times New Roman" w:cs="Times New Roman"/>
                <w:sz w:val="22"/>
                <w:szCs w:val="22"/>
              </w:rPr>
              <w:t>Autocad</w:t>
            </w:r>
            <w:r w:rsidRPr="00C04A7D">
              <w:rPr>
                <w:rFonts w:ascii="Times New Roman" w:hAnsi="Times New Roman" w:cs="Times New Roman"/>
                <w:sz w:val="22"/>
                <w:szCs w:val="22"/>
                <w:lang w:val="ky-KG"/>
              </w:rPr>
              <w:t xml:space="preserve">. </w:t>
            </w:r>
            <w:r w:rsidRPr="00C04A7D">
              <w:rPr>
                <w:rFonts w:ascii="Times New Roman" w:hAnsi="Times New Roman" w:cs="Times New Roman"/>
                <w:sz w:val="22"/>
                <w:szCs w:val="22"/>
                <w:lang w:val="ru"/>
              </w:rPr>
              <w:t>В бюджет следует включить пять (5) печатных копий окончательной редакции КПВРЭ.</w:t>
            </w:r>
          </w:p>
          <w:p w14:paraId="4C6A039F" w14:textId="77777777" w:rsidR="005A054F" w:rsidRPr="00C04A7D" w:rsidRDefault="005A054F">
            <w:pPr>
              <w:pStyle w:val="a7"/>
              <w:numPr>
                <w:ilvl w:val="0"/>
                <w:numId w:val="21"/>
              </w:numPr>
              <w:spacing w:line="259" w:lineRule="auto"/>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Все результаты должны быть предоставлены на русском и английском языках. Следует предусмотреть время для перевода на кыргызский язык и утверждения КГК любых документов, необходимых в процессе консультаций с заинтересованными сторонами. Все отчеты должны проверяться и редактироваться Консультантом до их предоставления в КГК. </w:t>
            </w:r>
          </w:p>
          <w:p w14:paraId="1A19D2C4" w14:textId="77777777" w:rsidR="005A054F" w:rsidRPr="00C04A7D" w:rsidRDefault="005A054F" w:rsidP="005330DF">
            <w:pPr>
              <w:spacing w:line="259" w:lineRule="auto"/>
              <w:ind w:firstLine="36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Ожидается, что Консультант предоставит предварительный краткий обзорный отчет с основными выводами по результатам первого визита на рудник в течение двух недель и окончательную редакцию КПВРЭ в течение двух недель после получения комментариев по проекту редакции КПВРЭ. Консультант может включить в предлагаемый график разработки КПВРЭ следующие сроки рассмотрения результатов КПВРЭ Кумтором:</w:t>
            </w:r>
          </w:p>
          <w:p w14:paraId="6BB7612C" w14:textId="77777777" w:rsidR="005A054F" w:rsidRPr="00C04A7D" w:rsidRDefault="005A054F">
            <w:pPr>
              <w:numPr>
                <w:ilvl w:val="0"/>
                <w:numId w:val="20"/>
              </w:numPr>
              <w:spacing w:line="259" w:lineRule="auto"/>
              <w:ind w:firstLine="812"/>
              <w:contextualSpacing/>
              <w:jc w:val="both"/>
              <w:rPr>
                <w:rFonts w:ascii="Times New Roman" w:hAnsi="Times New Roman" w:cs="Times New Roman"/>
                <w:sz w:val="22"/>
                <w:szCs w:val="22"/>
              </w:rPr>
            </w:pPr>
            <w:r w:rsidRPr="00C04A7D">
              <w:rPr>
                <w:rFonts w:ascii="Times New Roman" w:hAnsi="Times New Roman" w:cs="Times New Roman"/>
                <w:sz w:val="22"/>
                <w:szCs w:val="22"/>
                <w:lang w:val="ru"/>
              </w:rPr>
              <w:t>Обзорный отчет: 1 неделя.</w:t>
            </w:r>
          </w:p>
          <w:p w14:paraId="7517C91F" w14:textId="77777777" w:rsidR="005A054F" w:rsidRPr="00C04A7D" w:rsidRDefault="005A054F">
            <w:pPr>
              <w:numPr>
                <w:ilvl w:val="0"/>
                <w:numId w:val="20"/>
              </w:numPr>
              <w:spacing w:line="259" w:lineRule="auto"/>
              <w:ind w:firstLine="812"/>
              <w:contextualSpacing/>
              <w:jc w:val="both"/>
              <w:rPr>
                <w:rFonts w:ascii="Times New Roman" w:hAnsi="Times New Roman" w:cs="Times New Roman"/>
                <w:sz w:val="22"/>
                <w:szCs w:val="22"/>
              </w:rPr>
            </w:pPr>
            <w:r w:rsidRPr="00C04A7D">
              <w:rPr>
                <w:rFonts w:ascii="Times New Roman" w:hAnsi="Times New Roman" w:cs="Times New Roman"/>
                <w:sz w:val="22"/>
                <w:szCs w:val="22"/>
                <w:lang w:val="ru"/>
              </w:rPr>
              <w:t>Проект КПВРЭ: 3 недели.</w:t>
            </w:r>
          </w:p>
          <w:p w14:paraId="2C8B9915" w14:textId="77777777" w:rsidR="005A054F" w:rsidRPr="00C04A7D" w:rsidRDefault="005A054F" w:rsidP="005330DF">
            <w:pPr>
              <w:rPr>
                <w:rFonts w:ascii="Times New Roman" w:hAnsi="Times New Roman" w:cs="Times New Roman"/>
                <w:sz w:val="22"/>
                <w:szCs w:val="22"/>
                <w:lang w:val="ru"/>
              </w:rPr>
            </w:pPr>
            <w:r w:rsidRPr="00C04A7D">
              <w:rPr>
                <w:rFonts w:ascii="Times New Roman" w:hAnsi="Times New Roman" w:cs="Times New Roman"/>
                <w:sz w:val="22"/>
                <w:szCs w:val="22"/>
                <w:lang w:val="ru"/>
              </w:rPr>
              <w:t>Окончательная редакция КПВРЭ: 2 недели (при условии незначительных изменений)</w:t>
            </w:r>
          </w:p>
          <w:p w14:paraId="027C86FC" w14:textId="77777777" w:rsidR="005A054F" w:rsidRPr="00C04A7D" w:rsidRDefault="005A054F" w:rsidP="005330DF">
            <w:pPr>
              <w:rPr>
                <w:rFonts w:ascii="Times New Roman" w:hAnsi="Times New Roman" w:cs="Times New Roman"/>
                <w:sz w:val="22"/>
                <w:szCs w:val="22"/>
                <w:lang w:val="ru-RU"/>
              </w:rPr>
            </w:pPr>
          </w:p>
        </w:tc>
      </w:tr>
      <w:tr w:rsidR="005A054F" w:rsidRPr="001E70DD" w14:paraId="059BE26C" w14:textId="77777777" w:rsidTr="005330DF">
        <w:tblPrEx>
          <w:tblLook w:val="0000" w:firstRow="0" w:lastRow="0" w:firstColumn="0" w:lastColumn="0" w:noHBand="0" w:noVBand="0"/>
        </w:tblPrEx>
        <w:trPr>
          <w:trHeight w:val="1088"/>
        </w:trPr>
        <w:tc>
          <w:tcPr>
            <w:tcW w:w="339" w:type="pct"/>
          </w:tcPr>
          <w:p w14:paraId="574742C6" w14:textId="77777777" w:rsidR="005A054F" w:rsidRPr="00C04A7D" w:rsidRDefault="005A054F" w:rsidP="005330DF">
            <w:pPr>
              <w:jc w:val="center"/>
              <w:rPr>
                <w:rFonts w:ascii="Times New Roman" w:hAnsi="Times New Roman" w:cs="Times New Roman"/>
                <w:sz w:val="22"/>
                <w:szCs w:val="22"/>
              </w:rPr>
            </w:pPr>
            <w:r w:rsidRPr="00C04A7D">
              <w:rPr>
                <w:rFonts w:ascii="Times New Roman" w:hAnsi="Times New Roman" w:cs="Times New Roman"/>
                <w:sz w:val="22"/>
                <w:szCs w:val="22"/>
              </w:rPr>
              <w:lastRenderedPageBreak/>
              <w:t>10</w:t>
            </w:r>
          </w:p>
        </w:tc>
        <w:tc>
          <w:tcPr>
            <w:tcW w:w="1006" w:type="pct"/>
          </w:tcPr>
          <w:p w14:paraId="63D99472" w14:textId="77777777" w:rsidR="005A054F" w:rsidRPr="00C04A7D" w:rsidRDefault="005A054F" w:rsidP="005330DF">
            <w:pPr>
              <w:rPr>
                <w:rFonts w:ascii="Times New Roman" w:hAnsi="Times New Roman" w:cs="Times New Roman"/>
                <w:sz w:val="22"/>
                <w:szCs w:val="22"/>
                <w:lang w:val="ky-KG"/>
              </w:rPr>
            </w:pPr>
            <w:r w:rsidRPr="00C04A7D">
              <w:rPr>
                <w:rFonts w:ascii="Times New Roman" w:hAnsi="Times New Roman" w:cs="Times New Roman"/>
                <w:sz w:val="22"/>
                <w:szCs w:val="22"/>
                <w:lang w:val="ky-KG"/>
              </w:rPr>
              <w:t>Конфеденциальность</w:t>
            </w:r>
          </w:p>
        </w:tc>
        <w:tc>
          <w:tcPr>
            <w:tcW w:w="3655" w:type="pct"/>
          </w:tcPr>
          <w:p w14:paraId="2D20D68C" w14:textId="77777777" w:rsidR="005A054F" w:rsidRPr="00C04A7D" w:rsidRDefault="005A054F" w:rsidP="005330DF">
            <w:pPr>
              <w:spacing w:line="259" w:lineRule="auto"/>
              <w:ind w:firstLine="360"/>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Вся информация, предоставленная или полученная от КГК в любой форме в связи с настоящим запросом предложений (техническим заданием) как до, так и после публикации настоящего запроса предложений (технического задания):</w:t>
            </w:r>
          </w:p>
          <w:p w14:paraId="5FD3795F" w14:textId="77777777" w:rsidR="005A054F" w:rsidRPr="00C04A7D" w:rsidRDefault="005A054F">
            <w:pPr>
              <w:numPr>
                <w:ilvl w:val="0"/>
                <w:numId w:val="2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Является исключительной собственностью КГК и должна рассматриваться как конфиденциальная.</w:t>
            </w:r>
          </w:p>
          <w:p w14:paraId="4EE41A69" w14:textId="77777777" w:rsidR="005A054F" w:rsidRPr="00C04A7D" w:rsidRDefault="005A054F">
            <w:pPr>
              <w:numPr>
                <w:ilvl w:val="0"/>
                <w:numId w:val="2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Не должна использоваться ни для каких других целей, кроме ответа на настоящий запрос и выполнения любого контракта на подготовку КПВРЭ.</w:t>
            </w:r>
          </w:p>
          <w:p w14:paraId="1FD61360" w14:textId="77777777" w:rsidR="005A054F" w:rsidRPr="00C04A7D" w:rsidRDefault="005A054F">
            <w:pPr>
              <w:numPr>
                <w:ilvl w:val="0"/>
                <w:numId w:val="24"/>
              </w:numPr>
              <w:spacing w:line="259" w:lineRule="auto"/>
              <w:contextualSpacing/>
              <w:jc w:val="both"/>
              <w:rPr>
                <w:rFonts w:ascii="Times New Roman" w:hAnsi="Times New Roman" w:cs="Times New Roman"/>
                <w:sz w:val="22"/>
                <w:szCs w:val="22"/>
              </w:rPr>
            </w:pPr>
            <w:r w:rsidRPr="00C04A7D">
              <w:rPr>
                <w:rFonts w:ascii="Times New Roman" w:hAnsi="Times New Roman" w:cs="Times New Roman"/>
                <w:sz w:val="22"/>
                <w:szCs w:val="22"/>
                <w:lang w:val="ru"/>
              </w:rPr>
              <w:t>Должна быть возвращена Консультантом КГК незамедлительно по требованию КГК.</w:t>
            </w:r>
          </w:p>
          <w:p w14:paraId="72B20C8F" w14:textId="77777777" w:rsidR="005A054F" w:rsidRPr="00C04A7D" w:rsidRDefault="005A054F">
            <w:pPr>
              <w:numPr>
                <w:ilvl w:val="0"/>
                <w:numId w:val="24"/>
              </w:numPr>
              <w:spacing w:line="259"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Все права на интеллектуальную собственность, возникающие в результате выполнения настоящего Технического задания, переходят к КГК.</w:t>
            </w:r>
          </w:p>
          <w:p w14:paraId="3398BD1D" w14:textId="77777777" w:rsidR="005A054F" w:rsidRPr="00C04A7D" w:rsidRDefault="005A054F" w:rsidP="005330DF">
            <w:pPr>
              <w:ind w:left="720" w:right="29"/>
              <w:rPr>
                <w:rFonts w:ascii="Times New Roman" w:hAnsi="Times New Roman" w:cs="Times New Roman"/>
                <w:sz w:val="22"/>
                <w:szCs w:val="22"/>
                <w:lang w:val="ru-RU"/>
              </w:rPr>
            </w:pPr>
          </w:p>
        </w:tc>
      </w:tr>
      <w:tr w:rsidR="005A054F" w:rsidRPr="001E70DD" w14:paraId="04C80325" w14:textId="77777777" w:rsidTr="005330DF">
        <w:tblPrEx>
          <w:tblLook w:val="0000" w:firstRow="0" w:lastRow="0" w:firstColumn="0" w:lastColumn="0" w:noHBand="0" w:noVBand="0"/>
        </w:tblPrEx>
        <w:trPr>
          <w:trHeight w:val="593"/>
        </w:trPr>
        <w:tc>
          <w:tcPr>
            <w:tcW w:w="339" w:type="pct"/>
          </w:tcPr>
          <w:p w14:paraId="4849F764" w14:textId="77777777" w:rsidR="005A054F" w:rsidRPr="00C04A7D" w:rsidRDefault="005A054F" w:rsidP="005330DF">
            <w:pPr>
              <w:jc w:val="center"/>
              <w:rPr>
                <w:rFonts w:ascii="Times New Roman" w:hAnsi="Times New Roman" w:cs="Times New Roman"/>
                <w:sz w:val="22"/>
                <w:szCs w:val="22"/>
                <w:lang w:val="ky-KG"/>
              </w:rPr>
            </w:pPr>
            <w:r w:rsidRPr="00C04A7D">
              <w:rPr>
                <w:rFonts w:ascii="Times New Roman" w:hAnsi="Times New Roman" w:cs="Times New Roman"/>
                <w:sz w:val="22"/>
                <w:szCs w:val="22"/>
                <w:lang w:val="ky-KG"/>
              </w:rPr>
              <w:t>11</w:t>
            </w:r>
          </w:p>
        </w:tc>
        <w:tc>
          <w:tcPr>
            <w:tcW w:w="1006" w:type="pct"/>
          </w:tcPr>
          <w:p w14:paraId="58A48CF8" w14:textId="77777777" w:rsidR="005A054F" w:rsidRPr="00C04A7D" w:rsidRDefault="005A054F" w:rsidP="005330DF">
            <w:pPr>
              <w:rPr>
                <w:rFonts w:ascii="Times New Roman" w:hAnsi="Times New Roman" w:cs="Times New Roman"/>
                <w:sz w:val="22"/>
                <w:szCs w:val="22"/>
                <w:lang w:val="ru-RU"/>
              </w:rPr>
            </w:pPr>
            <w:r w:rsidRPr="00C04A7D">
              <w:rPr>
                <w:rFonts w:ascii="Times New Roman" w:hAnsi="Times New Roman" w:cs="Times New Roman"/>
                <w:sz w:val="22"/>
                <w:szCs w:val="22"/>
                <w:lang w:val="ky-KG"/>
              </w:rPr>
              <w:t>Условия оплаты и сроки выполнения работ</w:t>
            </w:r>
          </w:p>
        </w:tc>
        <w:tc>
          <w:tcPr>
            <w:tcW w:w="3655" w:type="pct"/>
          </w:tcPr>
          <w:p w14:paraId="3BC0F789" w14:textId="77777777" w:rsidR="005A054F" w:rsidRPr="00C04A7D" w:rsidRDefault="005A054F" w:rsidP="005330DF">
            <w:pPr>
              <w:rPr>
                <w:rFonts w:ascii="Times New Roman" w:hAnsi="Times New Roman" w:cs="Times New Roman"/>
                <w:bCs/>
                <w:sz w:val="22"/>
                <w:szCs w:val="22"/>
                <w:lang w:val="ru-RU"/>
              </w:rPr>
            </w:pPr>
            <w:r w:rsidRPr="00C04A7D">
              <w:rPr>
                <w:rFonts w:ascii="Times New Roman" w:hAnsi="Times New Roman" w:cs="Times New Roman"/>
                <w:bCs/>
                <w:sz w:val="22"/>
                <w:szCs w:val="22"/>
                <w:lang w:val="ru-RU"/>
              </w:rPr>
              <w:t>Условия оплаты рассмотреть в договоре.</w:t>
            </w:r>
          </w:p>
          <w:p w14:paraId="74E51CC1" w14:textId="77777777" w:rsidR="005A054F" w:rsidRPr="00C04A7D" w:rsidRDefault="005A054F" w:rsidP="005330DF">
            <w:pPr>
              <w:rPr>
                <w:rFonts w:ascii="Times New Roman" w:hAnsi="Times New Roman" w:cs="Times New Roman"/>
                <w:sz w:val="22"/>
                <w:szCs w:val="22"/>
                <w:lang w:val="ru-RU"/>
              </w:rPr>
            </w:pPr>
            <w:r w:rsidRPr="00C04A7D">
              <w:rPr>
                <w:rFonts w:ascii="Times New Roman" w:hAnsi="Times New Roman" w:cs="Times New Roman"/>
                <w:sz w:val="22"/>
                <w:szCs w:val="22"/>
                <w:lang w:val="ru-RU"/>
              </w:rPr>
              <w:t xml:space="preserve">Сроки выполнения до 1 </w:t>
            </w:r>
            <w:r w:rsidRPr="00C04A7D">
              <w:rPr>
                <w:rFonts w:ascii="Times New Roman" w:hAnsi="Times New Roman" w:cs="Times New Roman"/>
                <w:sz w:val="22"/>
                <w:szCs w:val="22"/>
                <w:lang w:val="ky-KG"/>
              </w:rPr>
              <w:t>ноября</w:t>
            </w:r>
            <w:r w:rsidRPr="00C04A7D">
              <w:rPr>
                <w:rFonts w:ascii="Times New Roman" w:hAnsi="Times New Roman" w:cs="Times New Roman"/>
                <w:sz w:val="22"/>
                <w:szCs w:val="22"/>
                <w:lang w:val="ru-RU"/>
              </w:rPr>
              <w:t xml:space="preserve"> 2026 года.</w:t>
            </w:r>
          </w:p>
          <w:p w14:paraId="148D1E17" w14:textId="77777777" w:rsidR="005A054F" w:rsidRPr="00C04A7D" w:rsidRDefault="005A054F" w:rsidP="005330DF">
            <w:pPr>
              <w:rPr>
                <w:rFonts w:ascii="Times New Roman" w:hAnsi="Times New Roman" w:cs="Times New Roman"/>
                <w:sz w:val="22"/>
                <w:szCs w:val="22"/>
                <w:lang w:val="ru-RU"/>
              </w:rPr>
            </w:pPr>
          </w:p>
        </w:tc>
      </w:tr>
      <w:tr w:rsidR="005A054F" w:rsidRPr="001E70DD" w14:paraId="06AC7513" w14:textId="77777777" w:rsidTr="005330DF">
        <w:tblPrEx>
          <w:tblLook w:val="0000" w:firstRow="0" w:lastRow="0" w:firstColumn="0" w:lastColumn="0" w:noHBand="0" w:noVBand="0"/>
        </w:tblPrEx>
        <w:trPr>
          <w:trHeight w:val="60"/>
        </w:trPr>
        <w:tc>
          <w:tcPr>
            <w:tcW w:w="339" w:type="pct"/>
          </w:tcPr>
          <w:p w14:paraId="082D4B0E" w14:textId="77777777" w:rsidR="005A054F" w:rsidRPr="00C04A7D" w:rsidRDefault="005A054F" w:rsidP="005330DF">
            <w:pPr>
              <w:jc w:val="center"/>
              <w:rPr>
                <w:rFonts w:ascii="Times New Roman" w:hAnsi="Times New Roman" w:cs="Times New Roman"/>
                <w:sz w:val="22"/>
                <w:szCs w:val="22"/>
                <w:lang w:val="ky-KG"/>
              </w:rPr>
            </w:pPr>
            <w:r w:rsidRPr="00C04A7D">
              <w:rPr>
                <w:rFonts w:ascii="Times New Roman" w:hAnsi="Times New Roman" w:cs="Times New Roman"/>
                <w:sz w:val="22"/>
                <w:szCs w:val="22"/>
              </w:rPr>
              <w:t>1</w:t>
            </w:r>
            <w:r w:rsidRPr="00C04A7D">
              <w:rPr>
                <w:rFonts w:ascii="Times New Roman" w:hAnsi="Times New Roman" w:cs="Times New Roman"/>
                <w:sz w:val="22"/>
                <w:szCs w:val="22"/>
                <w:lang w:val="ky-KG"/>
              </w:rPr>
              <w:t>2</w:t>
            </w:r>
          </w:p>
        </w:tc>
        <w:tc>
          <w:tcPr>
            <w:tcW w:w="1006" w:type="pct"/>
          </w:tcPr>
          <w:p w14:paraId="4CA51CCB" w14:textId="77777777" w:rsidR="005A054F" w:rsidRPr="00C04A7D" w:rsidRDefault="005A054F" w:rsidP="005330DF">
            <w:pPr>
              <w:rPr>
                <w:rFonts w:ascii="Times New Roman" w:hAnsi="Times New Roman" w:cs="Times New Roman"/>
                <w:sz w:val="22"/>
                <w:szCs w:val="22"/>
                <w:lang w:val="ru-RU"/>
              </w:rPr>
            </w:pPr>
            <w:r w:rsidRPr="00C04A7D">
              <w:rPr>
                <w:rFonts w:ascii="Times New Roman" w:hAnsi="Times New Roman" w:cs="Times New Roman"/>
                <w:sz w:val="22"/>
                <w:szCs w:val="22"/>
                <w:lang w:val="ru-RU"/>
              </w:rPr>
              <w:t>Материалы и услуги, предоставляемые Заказчиком</w:t>
            </w:r>
          </w:p>
        </w:tc>
        <w:tc>
          <w:tcPr>
            <w:tcW w:w="3655" w:type="pct"/>
          </w:tcPr>
          <w:p w14:paraId="754E873D" w14:textId="77777777" w:rsidR="005A054F" w:rsidRPr="00C04A7D" w:rsidRDefault="005A054F" w:rsidP="005330DF">
            <w:pPr>
              <w:ind w:firstLine="360"/>
              <w:jc w:val="both"/>
              <w:rPr>
                <w:rFonts w:ascii="Times New Roman" w:hAnsi="Times New Roman" w:cs="Times New Roman"/>
                <w:sz w:val="22"/>
                <w:szCs w:val="22"/>
                <w:lang w:val="ky-KG"/>
              </w:rPr>
            </w:pPr>
            <w:r w:rsidRPr="00C04A7D">
              <w:rPr>
                <w:rFonts w:ascii="Times New Roman" w:hAnsi="Times New Roman" w:cs="Times New Roman"/>
                <w:sz w:val="22"/>
                <w:szCs w:val="22"/>
                <w:lang w:val="ru"/>
              </w:rPr>
              <w:t xml:space="preserve">Чтобы помочь Консультанту подготовить предложение для КПВРЭ на 2026 год, перечисленная ниже информация доступна для скачивания </w:t>
            </w:r>
            <w:r w:rsidRPr="00C04A7D">
              <w:rPr>
                <w:rFonts w:ascii="Times New Roman" w:hAnsi="Times New Roman" w:cs="Times New Roman"/>
                <w:sz w:val="22"/>
                <w:szCs w:val="22"/>
              </w:rPr>
              <w:t>PDF</w:t>
            </w:r>
            <w:r w:rsidRPr="00C04A7D">
              <w:rPr>
                <w:rFonts w:ascii="Times New Roman" w:hAnsi="Times New Roman" w:cs="Times New Roman"/>
                <w:sz w:val="22"/>
                <w:szCs w:val="22"/>
                <w:lang w:val="ru-RU"/>
              </w:rPr>
              <w:t xml:space="preserve"> </w:t>
            </w:r>
            <w:r w:rsidRPr="00C04A7D">
              <w:rPr>
                <w:rFonts w:ascii="Times New Roman" w:hAnsi="Times New Roman" w:cs="Times New Roman"/>
                <w:sz w:val="22"/>
                <w:szCs w:val="22"/>
                <w:lang w:val="ky-KG"/>
              </w:rPr>
              <w:t xml:space="preserve">формате </w:t>
            </w:r>
            <w:r w:rsidRPr="00C04A7D">
              <w:rPr>
                <w:rFonts w:ascii="Times New Roman" w:hAnsi="Times New Roman" w:cs="Times New Roman"/>
                <w:sz w:val="22"/>
                <w:szCs w:val="22"/>
                <w:lang w:val="ru"/>
              </w:rPr>
              <w:t>после утверждения соглашения о неразглашении.</w:t>
            </w:r>
          </w:p>
          <w:p w14:paraId="60A713CA" w14:textId="77777777" w:rsidR="005A054F" w:rsidRPr="00C04A7D" w:rsidRDefault="005A054F">
            <w:pPr>
              <w:pStyle w:val="a7"/>
              <w:numPr>
                <w:ilvl w:val="0"/>
                <w:numId w:val="23"/>
              </w:numPr>
              <w:spacing w:after="0" w:line="240" w:lineRule="auto"/>
              <w:ind w:left="463" w:hanging="425"/>
              <w:jc w:val="both"/>
              <w:rPr>
                <w:rFonts w:ascii="Times New Roman" w:hAnsi="Times New Roman" w:cs="Times New Roman"/>
                <w:sz w:val="22"/>
                <w:szCs w:val="22"/>
                <w:lang w:val="ru-RU"/>
              </w:rPr>
            </w:pPr>
            <w:r w:rsidRPr="00C04A7D">
              <w:rPr>
                <w:rFonts w:ascii="Times New Roman" w:hAnsi="Times New Roman" w:cs="Times New Roman"/>
                <w:sz w:val="22"/>
                <w:szCs w:val="22"/>
              </w:rPr>
              <w:t>Behre</w:t>
            </w:r>
            <w:r w:rsidRPr="00C04A7D">
              <w:rPr>
                <w:rFonts w:ascii="Times New Roman" w:hAnsi="Times New Roman" w:cs="Times New Roman"/>
                <w:sz w:val="22"/>
                <w:szCs w:val="22"/>
                <w:lang w:val="ru-RU"/>
              </w:rPr>
              <w:t xml:space="preserve"> </w:t>
            </w:r>
            <w:r w:rsidRPr="00C04A7D">
              <w:rPr>
                <w:rFonts w:ascii="Times New Roman" w:hAnsi="Times New Roman" w:cs="Times New Roman"/>
                <w:sz w:val="22"/>
                <w:szCs w:val="22"/>
              </w:rPr>
              <w:t>Dolbear</w:t>
            </w:r>
            <w:r w:rsidRPr="00C04A7D">
              <w:rPr>
                <w:rFonts w:ascii="Times New Roman" w:hAnsi="Times New Roman" w:cs="Times New Roman"/>
                <w:sz w:val="22"/>
                <w:szCs w:val="22"/>
                <w:lang w:val="ky-KG"/>
              </w:rPr>
              <w:t xml:space="preserve">, </w:t>
            </w:r>
            <w:r w:rsidRPr="00C04A7D">
              <w:rPr>
                <w:rFonts w:ascii="Times New Roman" w:hAnsi="Times New Roman" w:cs="Times New Roman"/>
                <w:i/>
                <w:iCs/>
                <w:sz w:val="22"/>
                <w:szCs w:val="22"/>
                <w:lang w:val="ky-KG"/>
              </w:rPr>
              <w:t>“Концентуальный план вывода рудника Кумтор из эксплуатации на 2023 года”, январь 2024 год.</w:t>
            </w:r>
          </w:p>
          <w:p w14:paraId="04AF0421" w14:textId="77777777" w:rsidR="005A054F" w:rsidRPr="00C04A7D" w:rsidRDefault="005A054F">
            <w:pPr>
              <w:pStyle w:val="a7"/>
              <w:numPr>
                <w:ilvl w:val="0"/>
                <w:numId w:val="23"/>
              </w:numPr>
              <w:spacing w:after="0" w:line="240" w:lineRule="auto"/>
              <w:ind w:left="463" w:hanging="425"/>
              <w:jc w:val="both"/>
              <w:rPr>
                <w:rFonts w:ascii="Times New Roman" w:hAnsi="Times New Roman" w:cs="Times New Roman"/>
                <w:sz w:val="22"/>
                <w:szCs w:val="22"/>
                <w:lang w:val="ru-RU"/>
              </w:rPr>
            </w:pPr>
            <w:r w:rsidRPr="00C04A7D">
              <w:rPr>
                <w:rFonts w:ascii="Times New Roman" w:hAnsi="Times New Roman" w:cs="Times New Roman"/>
                <w:sz w:val="22"/>
                <w:szCs w:val="22"/>
                <w:lang w:val="ru"/>
              </w:rPr>
              <w:t>SRK Consulting</w:t>
            </w:r>
            <w:r w:rsidRPr="00C04A7D">
              <w:rPr>
                <w:rFonts w:ascii="Times New Roman" w:hAnsi="Times New Roman" w:cs="Times New Roman"/>
                <w:i/>
                <w:sz w:val="22"/>
                <w:szCs w:val="22"/>
                <w:lang w:val="ru"/>
              </w:rPr>
              <w:t xml:space="preserve">, «Концептуальный план вывода рудника Кумтор из эксплуатации на 2019 год», </w:t>
            </w:r>
            <w:r w:rsidRPr="00C04A7D">
              <w:rPr>
                <w:rFonts w:ascii="Times New Roman" w:hAnsi="Times New Roman" w:cs="Times New Roman"/>
                <w:sz w:val="22"/>
                <w:szCs w:val="22"/>
                <w:lang w:val="ru"/>
              </w:rPr>
              <w:t>декабрь 2019 год</w:t>
            </w:r>
            <w:r w:rsidRPr="00C04A7D">
              <w:rPr>
                <w:rFonts w:ascii="Times New Roman" w:hAnsi="Times New Roman" w:cs="Times New Roman"/>
                <w:i/>
                <w:sz w:val="22"/>
                <w:szCs w:val="22"/>
                <w:lang w:val="ru"/>
              </w:rPr>
              <w:t>.</w:t>
            </w:r>
          </w:p>
          <w:p w14:paraId="493E0E00"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КГК</w:t>
            </w:r>
            <w:r w:rsidRPr="00C04A7D">
              <w:rPr>
                <w:rFonts w:ascii="Times New Roman" w:hAnsi="Times New Roman" w:cs="Times New Roman"/>
                <w:i/>
                <w:sz w:val="22"/>
                <w:szCs w:val="22"/>
                <w:lang w:val="ru"/>
              </w:rPr>
              <w:t>, «Обновленный технический отчет по руднику Кумтор»</w:t>
            </w:r>
            <w:r w:rsidRPr="00C04A7D" w:rsidDel="007B7F38">
              <w:rPr>
                <w:rFonts w:ascii="Times New Roman" w:hAnsi="Times New Roman" w:cs="Times New Roman"/>
                <w:i/>
                <w:sz w:val="22"/>
                <w:szCs w:val="22"/>
                <w:lang w:val="ru"/>
              </w:rPr>
              <w:t xml:space="preserve"> </w:t>
            </w:r>
          </w:p>
          <w:p w14:paraId="6CABEFB0"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КГК</w:t>
            </w:r>
            <w:r w:rsidRPr="00C04A7D">
              <w:rPr>
                <w:rFonts w:ascii="Times New Roman" w:hAnsi="Times New Roman" w:cs="Times New Roman"/>
                <w:i/>
                <w:sz w:val="22"/>
                <w:szCs w:val="22"/>
                <w:lang w:val="ru"/>
              </w:rPr>
              <w:t xml:space="preserve">, «Годовой отчет об охране окружающей среды» за </w:t>
            </w:r>
            <w:r w:rsidRPr="00C04A7D">
              <w:rPr>
                <w:rFonts w:ascii="Times New Roman" w:hAnsi="Times New Roman" w:cs="Times New Roman"/>
                <w:sz w:val="22"/>
                <w:szCs w:val="22"/>
                <w:lang w:val="ru"/>
              </w:rPr>
              <w:t>2025 год</w:t>
            </w:r>
            <w:r w:rsidRPr="00C04A7D">
              <w:rPr>
                <w:rFonts w:ascii="Times New Roman" w:hAnsi="Times New Roman" w:cs="Times New Roman"/>
                <w:i/>
                <w:sz w:val="22"/>
                <w:szCs w:val="22"/>
                <w:lang w:val="ru"/>
              </w:rPr>
              <w:t>.</w:t>
            </w:r>
          </w:p>
          <w:p w14:paraId="1B171D0A"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Аркадис</w:t>
            </w:r>
            <w:r w:rsidRPr="00C04A7D">
              <w:rPr>
                <w:rFonts w:ascii="Times New Roman" w:hAnsi="Times New Roman" w:cs="Times New Roman"/>
                <w:i/>
                <w:sz w:val="22"/>
                <w:szCs w:val="22"/>
                <w:lang w:val="ru"/>
              </w:rPr>
              <w:t xml:space="preserve">, «Анализ затрат в случае аварийной остановки рудника Кумтор», </w:t>
            </w:r>
            <w:r w:rsidRPr="00C04A7D">
              <w:rPr>
                <w:rFonts w:ascii="Times New Roman" w:hAnsi="Times New Roman" w:cs="Times New Roman"/>
                <w:sz w:val="22"/>
                <w:szCs w:val="22"/>
                <w:lang w:val="ru"/>
              </w:rPr>
              <w:t>сентябрь 2018 г</w:t>
            </w:r>
            <w:r w:rsidRPr="00C04A7D">
              <w:rPr>
                <w:rFonts w:ascii="Times New Roman" w:hAnsi="Times New Roman" w:cs="Times New Roman"/>
                <w:i/>
                <w:sz w:val="22"/>
                <w:szCs w:val="22"/>
                <w:lang w:val="ru"/>
              </w:rPr>
              <w:t>.</w:t>
            </w:r>
          </w:p>
          <w:p w14:paraId="60C1C3E6"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 xml:space="preserve">Кумтор </w:t>
            </w:r>
            <w:r w:rsidRPr="00C04A7D">
              <w:rPr>
                <w:rFonts w:ascii="Times New Roman" w:hAnsi="Times New Roman" w:cs="Times New Roman"/>
                <w:sz w:val="22"/>
                <w:szCs w:val="22"/>
                <w:lang w:val="ky-KG"/>
              </w:rPr>
              <w:t>Голд</w:t>
            </w:r>
            <w:r w:rsidRPr="00C04A7D">
              <w:rPr>
                <w:rFonts w:ascii="Times New Roman" w:hAnsi="Times New Roman" w:cs="Times New Roman"/>
                <w:sz w:val="22"/>
                <w:szCs w:val="22"/>
                <w:lang w:val="ru"/>
              </w:rPr>
              <w:t xml:space="preserve"> Компани</w:t>
            </w:r>
            <w:r w:rsidRPr="00C04A7D">
              <w:rPr>
                <w:rFonts w:ascii="Times New Roman" w:hAnsi="Times New Roman" w:cs="Times New Roman"/>
                <w:i/>
                <w:sz w:val="22"/>
                <w:szCs w:val="22"/>
                <w:lang w:val="ru"/>
              </w:rPr>
              <w:t xml:space="preserve">, «План действие по охране окружающей среды», </w:t>
            </w:r>
            <w:r w:rsidRPr="00C04A7D">
              <w:rPr>
                <w:rFonts w:ascii="Times New Roman" w:hAnsi="Times New Roman" w:cs="Times New Roman"/>
                <w:sz w:val="22"/>
                <w:szCs w:val="22"/>
                <w:lang w:val="ru"/>
              </w:rPr>
              <w:t>2025 г</w:t>
            </w:r>
            <w:r w:rsidRPr="00C04A7D">
              <w:rPr>
                <w:rFonts w:ascii="Times New Roman" w:hAnsi="Times New Roman" w:cs="Times New Roman"/>
                <w:i/>
                <w:sz w:val="22"/>
                <w:szCs w:val="22"/>
                <w:lang w:val="ru"/>
              </w:rPr>
              <w:t>.</w:t>
            </w:r>
          </w:p>
          <w:p w14:paraId="04854266"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Данные мониторинга окружающей среды КГК (см. Приложение к годовому отчету об охране окружающей среды за 2025 год).</w:t>
            </w:r>
          </w:p>
          <w:p w14:paraId="0750EF7E"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rPr>
            </w:pPr>
            <w:r w:rsidRPr="00C04A7D">
              <w:rPr>
                <w:rFonts w:ascii="Times New Roman" w:hAnsi="Times New Roman" w:cs="Times New Roman"/>
                <w:sz w:val="22"/>
                <w:szCs w:val="22"/>
                <w:lang w:val="ru"/>
              </w:rPr>
              <w:t xml:space="preserve">Институт биологии Национальной академии наук КР </w:t>
            </w:r>
            <w:r w:rsidRPr="00C04A7D">
              <w:rPr>
                <w:rFonts w:ascii="Times New Roman" w:hAnsi="Times New Roman" w:cs="Times New Roman"/>
                <w:i/>
                <w:iCs/>
                <w:sz w:val="22"/>
                <w:szCs w:val="22"/>
                <w:lang w:val="ru"/>
              </w:rPr>
              <w:t>«Отчет проведения мониторинга и исследования биоразнообразия на концессионной площади Кумтор и прилегающей территории, а также реки Нарын».</w:t>
            </w:r>
            <w:r w:rsidRPr="00C04A7D">
              <w:rPr>
                <w:rFonts w:ascii="Times New Roman" w:hAnsi="Times New Roman" w:cs="Times New Roman"/>
                <w:sz w:val="22"/>
                <w:szCs w:val="22"/>
                <w:lang w:val="ru"/>
              </w:rPr>
              <w:t xml:space="preserve"> 2024 год</w:t>
            </w:r>
          </w:p>
          <w:p w14:paraId="47005D3C"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Призма</w:t>
            </w:r>
            <w:r w:rsidRPr="00C04A7D">
              <w:rPr>
                <w:rFonts w:ascii="Times New Roman" w:hAnsi="Times New Roman" w:cs="Times New Roman"/>
                <w:i/>
                <w:sz w:val="22"/>
                <w:szCs w:val="22"/>
                <w:lang w:val="ru"/>
              </w:rPr>
              <w:t xml:space="preserve">, «Годовой отчет по учету диких животных на территории Хвостового хозяйства (ХХ) за 2019 год», </w:t>
            </w:r>
            <w:r w:rsidRPr="00C04A7D">
              <w:rPr>
                <w:rFonts w:ascii="Times New Roman" w:hAnsi="Times New Roman" w:cs="Times New Roman"/>
                <w:sz w:val="22"/>
                <w:szCs w:val="22"/>
                <w:lang w:val="ru"/>
              </w:rPr>
              <w:t>январь 2020 г</w:t>
            </w:r>
            <w:r w:rsidRPr="00C04A7D">
              <w:rPr>
                <w:rFonts w:ascii="Times New Roman" w:hAnsi="Times New Roman" w:cs="Times New Roman"/>
                <w:i/>
                <w:sz w:val="22"/>
                <w:szCs w:val="22"/>
                <w:lang w:val="ru"/>
              </w:rPr>
              <w:t>.</w:t>
            </w:r>
          </w:p>
          <w:p w14:paraId="7405A3EE"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КГК, Базовое социально-экономическое исследование по Иссык-Кульской области, январь 2015 г.</w:t>
            </w:r>
          </w:p>
          <w:p w14:paraId="176ED933"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Университет Центральной Азии</w:t>
            </w:r>
            <w:r w:rsidRPr="00C04A7D">
              <w:rPr>
                <w:rFonts w:ascii="Times New Roman" w:hAnsi="Times New Roman" w:cs="Times New Roman"/>
                <w:i/>
                <w:sz w:val="22"/>
                <w:szCs w:val="22"/>
                <w:lang w:val="ru"/>
              </w:rPr>
              <w:t xml:space="preserve">, «Влияние золотого рудника Кумтор на экономическое и социальное развитие Кыргызской Республики», </w:t>
            </w:r>
            <w:r w:rsidRPr="00C04A7D">
              <w:rPr>
                <w:rFonts w:ascii="Times New Roman" w:hAnsi="Times New Roman" w:cs="Times New Roman"/>
                <w:sz w:val="22"/>
                <w:szCs w:val="22"/>
                <w:lang w:val="ru"/>
              </w:rPr>
              <w:t>Рабочий документ № 32, 2015</w:t>
            </w:r>
            <w:r w:rsidRPr="00C04A7D">
              <w:rPr>
                <w:rFonts w:ascii="Times New Roman" w:hAnsi="Times New Roman" w:cs="Times New Roman"/>
                <w:i/>
                <w:sz w:val="22"/>
                <w:szCs w:val="22"/>
                <w:lang w:val="ru"/>
              </w:rPr>
              <w:t>.</w:t>
            </w:r>
          </w:p>
          <w:p w14:paraId="128F3732"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lastRenderedPageBreak/>
              <w:t xml:space="preserve">Кыргызский Национальный Аграрный Университет, </w:t>
            </w:r>
            <w:r w:rsidRPr="00C04A7D">
              <w:rPr>
                <w:rFonts w:ascii="Times New Roman" w:hAnsi="Times New Roman" w:cs="Times New Roman"/>
                <w:i/>
                <w:sz w:val="22"/>
                <w:szCs w:val="22"/>
                <w:lang w:val="ru"/>
              </w:rPr>
              <w:t>«Мероприятия по рекультивации верхнего плодородного слоя почвы на руднике Кумтор»</w:t>
            </w:r>
            <w:r w:rsidRPr="00C04A7D">
              <w:rPr>
                <w:rFonts w:ascii="Times New Roman" w:hAnsi="Times New Roman" w:cs="Times New Roman"/>
                <w:sz w:val="22"/>
                <w:szCs w:val="22"/>
                <w:lang w:val="ru"/>
              </w:rPr>
              <w:t>, декабрь 2021 г.</w:t>
            </w:r>
          </w:p>
          <w:p w14:paraId="1B453F73"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BGC Engineering Inc.</w:t>
            </w:r>
            <w:r w:rsidRPr="00C04A7D">
              <w:rPr>
                <w:rFonts w:ascii="Times New Roman" w:hAnsi="Times New Roman" w:cs="Times New Roman"/>
                <w:i/>
                <w:sz w:val="22"/>
                <w:szCs w:val="22"/>
                <w:lang w:val="ru"/>
              </w:rPr>
              <w:t xml:space="preserve">, «Хвостовое Хозяйство рудника Кумтор - Гидротехническая оценка/оценка проектного наводнения верхнего отводного канала», </w:t>
            </w:r>
            <w:r w:rsidRPr="00C04A7D">
              <w:rPr>
                <w:rFonts w:ascii="Times New Roman" w:hAnsi="Times New Roman" w:cs="Times New Roman"/>
                <w:sz w:val="22"/>
                <w:szCs w:val="22"/>
                <w:lang w:val="ru"/>
              </w:rPr>
              <w:t>проект № 0404–025, февраль, 2021 г</w:t>
            </w:r>
            <w:r w:rsidRPr="00C04A7D">
              <w:rPr>
                <w:rFonts w:ascii="Times New Roman" w:hAnsi="Times New Roman" w:cs="Times New Roman"/>
                <w:i/>
                <w:sz w:val="22"/>
                <w:szCs w:val="22"/>
                <w:lang w:val="ru"/>
              </w:rPr>
              <w:t>.</w:t>
            </w:r>
          </w:p>
          <w:p w14:paraId="4A9FE0CA"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BGC Engineering Inc.,</w:t>
            </w:r>
            <w:r w:rsidRPr="00C04A7D">
              <w:rPr>
                <w:rFonts w:ascii="Times New Roman" w:hAnsi="Times New Roman" w:cs="Times New Roman"/>
                <w:i/>
                <w:sz w:val="22"/>
                <w:szCs w:val="22"/>
                <w:lang w:val="ru"/>
              </w:rPr>
              <w:t xml:space="preserve"> «Оценка опасности наводнения при прорыве озера Петрова», </w:t>
            </w:r>
            <w:r w:rsidRPr="00C04A7D">
              <w:rPr>
                <w:rFonts w:ascii="Times New Roman" w:hAnsi="Times New Roman" w:cs="Times New Roman"/>
                <w:sz w:val="22"/>
                <w:szCs w:val="22"/>
                <w:lang w:val="ru"/>
              </w:rPr>
              <w:t>декабрь 2020 г</w:t>
            </w:r>
            <w:r w:rsidRPr="00C04A7D">
              <w:rPr>
                <w:rFonts w:ascii="Times New Roman" w:hAnsi="Times New Roman" w:cs="Times New Roman"/>
                <w:i/>
                <w:sz w:val="22"/>
                <w:szCs w:val="22"/>
                <w:lang w:val="ru"/>
              </w:rPr>
              <w:t>.</w:t>
            </w:r>
          </w:p>
          <w:p w14:paraId="727F8031"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Научно-проектная лаборатория «Устойчивости геотехнических объектов»</w:t>
            </w:r>
            <w:r w:rsidRPr="00C04A7D">
              <w:rPr>
                <w:rFonts w:ascii="Times New Roman" w:hAnsi="Times New Roman" w:cs="Times New Roman"/>
                <w:i/>
                <w:sz w:val="22"/>
                <w:szCs w:val="22"/>
                <w:lang w:val="ru"/>
              </w:rPr>
              <w:t xml:space="preserve">, «Рекомендации по Системе контрольно-измерительных приборов для естественной перемычки озера Петрова», </w:t>
            </w:r>
            <w:r w:rsidRPr="00C04A7D">
              <w:rPr>
                <w:rFonts w:ascii="Times New Roman" w:hAnsi="Times New Roman" w:cs="Times New Roman"/>
                <w:sz w:val="22"/>
                <w:szCs w:val="22"/>
                <w:lang w:val="ru"/>
              </w:rPr>
              <w:t>декабрь 2015 г</w:t>
            </w:r>
            <w:r w:rsidRPr="00C04A7D">
              <w:rPr>
                <w:rFonts w:ascii="Times New Roman" w:hAnsi="Times New Roman" w:cs="Times New Roman"/>
                <w:i/>
                <w:sz w:val="22"/>
                <w:szCs w:val="22"/>
                <w:lang w:val="ru"/>
              </w:rPr>
              <w:t>.</w:t>
            </w:r>
          </w:p>
          <w:p w14:paraId="2065DDB3"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rPr>
            </w:pPr>
            <w:r w:rsidRPr="00C04A7D">
              <w:rPr>
                <w:rFonts w:ascii="Times New Roman" w:hAnsi="Times New Roman" w:cs="Times New Roman"/>
                <w:sz w:val="22"/>
                <w:szCs w:val="22"/>
                <w:lang w:val="ru"/>
              </w:rPr>
              <w:t>Руководство пользователя Модели Стандартизированной оценки затрат на рекультивацию (SRCE), версия 1.4.1, общедоступная версия, июль 2017 г.</w:t>
            </w:r>
          </w:p>
          <w:p w14:paraId="7EF6E647"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КГК, Аэрофотоснимок высокого разрешения территории рудника и границы концессионной площади, август 202</w:t>
            </w:r>
            <w:r w:rsidRPr="00C04A7D">
              <w:rPr>
                <w:rFonts w:ascii="Times New Roman" w:hAnsi="Times New Roman" w:cs="Times New Roman"/>
                <w:sz w:val="22"/>
                <w:szCs w:val="22"/>
                <w:lang w:val="ru-RU"/>
              </w:rPr>
              <w:t>6</w:t>
            </w:r>
            <w:r w:rsidRPr="00C04A7D">
              <w:rPr>
                <w:rFonts w:ascii="Times New Roman" w:hAnsi="Times New Roman" w:cs="Times New Roman"/>
                <w:sz w:val="22"/>
                <w:szCs w:val="22"/>
                <w:lang w:val="ru"/>
              </w:rPr>
              <w:t xml:space="preserve"> г. </w:t>
            </w:r>
          </w:p>
          <w:p w14:paraId="60ED3238" w14:textId="77777777" w:rsidR="005A054F" w:rsidRPr="00C04A7D" w:rsidRDefault="005A054F">
            <w:pPr>
              <w:numPr>
                <w:ilvl w:val="0"/>
                <w:numId w:val="22"/>
              </w:numPr>
              <w:spacing w:after="0" w:line="240" w:lineRule="auto"/>
              <w:contextualSpacing/>
              <w:jc w:val="both"/>
              <w:rPr>
                <w:rFonts w:ascii="Times New Roman" w:hAnsi="Times New Roman" w:cs="Times New Roman"/>
                <w:sz w:val="22"/>
                <w:szCs w:val="22"/>
                <w:lang w:val="ru-RU"/>
              </w:rPr>
            </w:pPr>
            <w:r w:rsidRPr="00C04A7D">
              <w:rPr>
                <w:rFonts w:ascii="Times New Roman" w:hAnsi="Times New Roman" w:cs="Times New Roman"/>
                <w:sz w:val="22"/>
                <w:szCs w:val="22"/>
                <w:lang w:val="ru"/>
              </w:rPr>
              <w:t>Lorax Environmental, анимация вывода рудника из эксплуатации на основе КПВРЭ на 2013 год, сентябрь 2015 г.</w:t>
            </w:r>
          </w:p>
        </w:tc>
      </w:tr>
    </w:tbl>
    <w:p w14:paraId="21140E81" w14:textId="77777777" w:rsidR="005A054F" w:rsidRPr="00C04A7D" w:rsidRDefault="005A054F" w:rsidP="005A054F">
      <w:pPr>
        <w:rPr>
          <w:rFonts w:ascii="Times New Roman" w:hAnsi="Times New Roman" w:cs="Times New Roman"/>
          <w:sz w:val="22"/>
          <w:szCs w:val="22"/>
          <w:lang w:val="ru-RU"/>
        </w:rPr>
      </w:pPr>
    </w:p>
    <w:p w14:paraId="197D31F9" w14:textId="77777777" w:rsidR="005A054F" w:rsidRPr="00C04A7D" w:rsidRDefault="005A054F" w:rsidP="005A054F">
      <w:pPr>
        <w:rPr>
          <w:rFonts w:ascii="Times New Roman" w:hAnsi="Times New Roman" w:cs="Times New Roman"/>
          <w:sz w:val="22"/>
          <w:szCs w:val="22"/>
          <w:lang w:val="ky-KG"/>
        </w:rPr>
      </w:pPr>
    </w:p>
    <w:p w14:paraId="2606CE4D" w14:textId="77777777" w:rsidR="00181147" w:rsidRPr="00C04A7D" w:rsidRDefault="00181147" w:rsidP="00E006AB">
      <w:pPr>
        <w:spacing w:after="0"/>
        <w:jc w:val="right"/>
        <w:rPr>
          <w:rFonts w:ascii="Times New Roman" w:eastAsia="Times New Roman" w:hAnsi="Times New Roman" w:cs="Times New Roman"/>
          <w:b/>
          <w:bCs/>
          <w:sz w:val="22"/>
          <w:szCs w:val="22"/>
          <w:lang w:val="ky-KG"/>
        </w:rPr>
      </w:pPr>
    </w:p>
    <w:sectPr w:rsidR="00181147" w:rsidRPr="00C04A7D" w:rsidSect="001E04FB">
      <w:footerReference w:type="default" r:id="rId12"/>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D3C0" w14:textId="77777777" w:rsidR="00DB30B9" w:rsidRDefault="00DB30B9">
      <w:pPr>
        <w:spacing w:after="0" w:line="240" w:lineRule="auto"/>
      </w:pPr>
      <w:r>
        <w:separator/>
      </w:r>
    </w:p>
  </w:endnote>
  <w:endnote w:type="continuationSeparator" w:id="0">
    <w:p w14:paraId="069DD2F8" w14:textId="77777777" w:rsidR="00DB30B9" w:rsidRDefault="00DB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3C020016"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8D5ACE">
          <w:rPr>
            <w:rFonts w:ascii="Times New Roman" w:hAnsi="Times New Roman" w:cs="Times New Roman"/>
            <w:noProof/>
            <w:sz w:val="20"/>
            <w:szCs w:val="20"/>
          </w:rPr>
          <w:t>21</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64215" w14:textId="77777777" w:rsidR="00DB30B9" w:rsidRDefault="00DB30B9">
      <w:pPr>
        <w:spacing w:after="0" w:line="240" w:lineRule="auto"/>
      </w:pPr>
      <w:r>
        <w:separator/>
      </w:r>
    </w:p>
  </w:footnote>
  <w:footnote w:type="continuationSeparator" w:id="0">
    <w:p w14:paraId="22772457" w14:textId="77777777" w:rsidR="00DB30B9" w:rsidRDefault="00DB3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DD5"/>
    <w:multiLevelType w:val="hybridMultilevel"/>
    <w:tmpl w:val="D42E7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77217"/>
    <w:multiLevelType w:val="multilevel"/>
    <w:tmpl w:val="6D26A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C12F5"/>
    <w:multiLevelType w:val="hybridMultilevel"/>
    <w:tmpl w:val="DC184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50E72"/>
    <w:multiLevelType w:val="hybridMultilevel"/>
    <w:tmpl w:val="3ED017C0"/>
    <w:lvl w:ilvl="0" w:tplc="4A562C7A">
      <w:start w:val="1"/>
      <w:numFmt w:val="bullet"/>
      <w:lvlText w:val=""/>
      <w:lvlJc w:val="left"/>
      <w:pPr>
        <w:ind w:left="720" w:hanging="360"/>
      </w:pPr>
      <w:rPr>
        <w:rFonts w:ascii="Symbol" w:hAnsi="Symbol" w:hint="default"/>
      </w:rPr>
    </w:lvl>
    <w:lvl w:ilvl="1" w:tplc="ADEE1CE0" w:tentative="1">
      <w:start w:val="1"/>
      <w:numFmt w:val="bullet"/>
      <w:lvlText w:val="o"/>
      <w:lvlJc w:val="left"/>
      <w:pPr>
        <w:ind w:left="1440" w:hanging="360"/>
      </w:pPr>
      <w:rPr>
        <w:rFonts w:ascii="Courier New" w:hAnsi="Courier New" w:cs="Courier New" w:hint="default"/>
      </w:rPr>
    </w:lvl>
    <w:lvl w:ilvl="2" w:tplc="24B245A4" w:tentative="1">
      <w:start w:val="1"/>
      <w:numFmt w:val="bullet"/>
      <w:lvlText w:val=""/>
      <w:lvlJc w:val="left"/>
      <w:pPr>
        <w:ind w:left="2160" w:hanging="360"/>
      </w:pPr>
      <w:rPr>
        <w:rFonts w:ascii="Wingdings" w:hAnsi="Wingdings" w:hint="default"/>
      </w:rPr>
    </w:lvl>
    <w:lvl w:ilvl="3" w:tplc="0642506C" w:tentative="1">
      <w:start w:val="1"/>
      <w:numFmt w:val="bullet"/>
      <w:lvlText w:val=""/>
      <w:lvlJc w:val="left"/>
      <w:pPr>
        <w:ind w:left="2880" w:hanging="360"/>
      </w:pPr>
      <w:rPr>
        <w:rFonts w:ascii="Symbol" w:hAnsi="Symbol" w:hint="default"/>
      </w:rPr>
    </w:lvl>
    <w:lvl w:ilvl="4" w:tplc="C7AA5C80" w:tentative="1">
      <w:start w:val="1"/>
      <w:numFmt w:val="bullet"/>
      <w:lvlText w:val="o"/>
      <w:lvlJc w:val="left"/>
      <w:pPr>
        <w:ind w:left="3600" w:hanging="360"/>
      </w:pPr>
      <w:rPr>
        <w:rFonts w:ascii="Courier New" w:hAnsi="Courier New" w:cs="Courier New" w:hint="default"/>
      </w:rPr>
    </w:lvl>
    <w:lvl w:ilvl="5" w:tplc="1AD4A316" w:tentative="1">
      <w:start w:val="1"/>
      <w:numFmt w:val="bullet"/>
      <w:lvlText w:val=""/>
      <w:lvlJc w:val="left"/>
      <w:pPr>
        <w:ind w:left="4320" w:hanging="360"/>
      </w:pPr>
      <w:rPr>
        <w:rFonts w:ascii="Wingdings" w:hAnsi="Wingdings" w:hint="default"/>
      </w:rPr>
    </w:lvl>
    <w:lvl w:ilvl="6" w:tplc="333E3C82" w:tentative="1">
      <w:start w:val="1"/>
      <w:numFmt w:val="bullet"/>
      <w:lvlText w:val=""/>
      <w:lvlJc w:val="left"/>
      <w:pPr>
        <w:ind w:left="5040" w:hanging="360"/>
      </w:pPr>
      <w:rPr>
        <w:rFonts w:ascii="Symbol" w:hAnsi="Symbol" w:hint="default"/>
      </w:rPr>
    </w:lvl>
    <w:lvl w:ilvl="7" w:tplc="D2965550" w:tentative="1">
      <w:start w:val="1"/>
      <w:numFmt w:val="bullet"/>
      <w:lvlText w:val="o"/>
      <w:lvlJc w:val="left"/>
      <w:pPr>
        <w:ind w:left="5760" w:hanging="360"/>
      </w:pPr>
      <w:rPr>
        <w:rFonts w:ascii="Courier New" w:hAnsi="Courier New" w:cs="Courier New" w:hint="default"/>
      </w:rPr>
    </w:lvl>
    <w:lvl w:ilvl="8" w:tplc="6D2A5BCE" w:tentative="1">
      <w:start w:val="1"/>
      <w:numFmt w:val="bullet"/>
      <w:lvlText w:val=""/>
      <w:lvlJc w:val="left"/>
      <w:pPr>
        <w:ind w:left="6480" w:hanging="360"/>
      </w:pPr>
      <w:rPr>
        <w:rFonts w:ascii="Wingdings" w:hAnsi="Wingdings" w:hint="default"/>
      </w:rPr>
    </w:lvl>
  </w:abstractNum>
  <w:abstractNum w:abstractNumId="5" w15:restartNumberingAfterBreak="0">
    <w:nsid w:val="1C383932"/>
    <w:multiLevelType w:val="multilevel"/>
    <w:tmpl w:val="ED70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362CF"/>
    <w:multiLevelType w:val="hybridMultilevel"/>
    <w:tmpl w:val="F23EFB60"/>
    <w:lvl w:ilvl="0" w:tplc="16506BFE">
      <w:start w:val="1"/>
      <w:numFmt w:val="bullet"/>
      <w:lvlText w:val=""/>
      <w:lvlJc w:val="left"/>
      <w:pPr>
        <w:ind w:left="360" w:hanging="360"/>
      </w:pPr>
      <w:rPr>
        <w:rFonts w:ascii="Symbol" w:hAnsi="Symbol" w:hint="default"/>
      </w:rPr>
    </w:lvl>
    <w:lvl w:ilvl="1" w:tplc="565EEB5C" w:tentative="1">
      <w:start w:val="1"/>
      <w:numFmt w:val="bullet"/>
      <w:lvlText w:val="o"/>
      <w:lvlJc w:val="left"/>
      <w:pPr>
        <w:ind w:left="1080" w:hanging="360"/>
      </w:pPr>
      <w:rPr>
        <w:rFonts w:ascii="Courier New" w:hAnsi="Courier New" w:cs="Courier New" w:hint="default"/>
      </w:rPr>
    </w:lvl>
    <w:lvl w:ilvl="2" w:tplc="EB6AF02C" w:tentative="1">
      <w:start w:val="1"/>
      <w:numFmt w:val="bullet"/>
      <w:lvlText w:val=""/>
      <w:lvlJc w:val="left"/>
      <w:pPr>
        <w:ind w:left="1800" w:hanging="360"/>
      </w:pPr>
      <w:rPr>
        <w:rFonts w:ascii="Wingdings" w:hAnsi="Wingdings" w:hint="default"/>
      </w:rPr>
    </w:lvl>
    <w:lvl w:ilvl="3" w:tplc="585079B2" w:tentative="1">
      <w:start w:val="1"/>
      <w:numFmt w:val="bullet"/>
      <w:lvlText w:val=""/>
      <w:lvlJc w:val="left"/>
      <w:pPr>
        <w:ind w:left="2520" w:hanging="360"/>
      </w:pPr>
      <w:rPr>
        <w:rFonts w:ascii="Symbol" w:hAnsi="Symbol" w:hint="default"/>
      </w:rPr>
    </w:lvl>
    <w:lvl w:ilvl="4" w:tplc="172E9ABC" w:tentative="1">
      <w:start w:val="1"/>
      <w:numFmt w:val="bullet"/>
      <w:lvlText w:val="o"/>
      <w:lvlJc w:val="left"/>
      <w:pPr>
        <w:ind w:left="3240" w:hanging="360"/>
      </w:pPr>
      <w:rPr>
        <w:rFonts w:ascii="Courier New" w:hAnsi="Courier New" w:cs="Courier New" w:hint="default"/>
      </w:rPr>
    </w:lvl>
    <w:lvl w:ilvl="5" w:tplc="C7B64AC8" w:tentative="1">
      <w:start w:val="1"/>
      <w:numFmt w:val="bullet"/>
      <w:lvlText w:val=""/>
      <w:lvlJc w:val="left"/>
      <w:pPr>
        <w:ind w:left="3960" w:hanging="360"/>
      </w:pPr>
      <w:rPr>
        <w:rFonts w:ascii="Wingdings" w:hAnsi="Wingdings" w:hint="default"/>
      </w:rPr>
    </w:lvl>
    <w:lvl w:ilvl="6" w:tplc="2AA446B4" w:tentative="1">
      <w:start w:val="1"/>
      <w:numFmt w:val="bullet"/>
      <w:lvlText w:val=""/>
      <w:lvlJc w:val="left"/>
      <w:pPr>
        <w:ind w:left="4680" w:hanging="360"/>
      </w:pPr>
      <w:rPr>
        <w:rFonts w:ascii="Symbol" w:hAnsi="Symbol" w:hint="default"/>
      </w:rPr>
    </w:lvl>
    <w:lvl w:ilvl="7" w:tplc="F8965BCE" w:tentative="1">
      <w:start w:val="1"/>
      <w:numFmt w:val="bullet"/>
      <w:lvlText w:val="o"/>
      <w:lvlJc w:val="left"/>
      <w:pPr>
        <w:ind w:left="5400" w:hanging="360"/>
      </w:pPr>
      <w:rPr>
        <w:rFonts w:ascii="Courier New" w:hAnsi="Courier New" w:cs="Courier New" w:hint="default"/>
      </w:rPr>
    </w:lvl>
    <w:lvl w:ilvl="8" w:tplc="7616A02E" w:tentative="1">
      <w:start w:val="1"/>
      <w:numFmt w:val="bullet"/>
      <w:lvlText w:val=""/>
      <w:lvlJc w:val="left"/>
      <w:pPr>
        <w:ind w:left="6120" w:hanging="360"/>
      </w:pPr>
      <w:rPr>
        <w:rFonts w:ascii="Wingdings" w:hAnsi="Wingdings" w:hint="default"/>
      </w:r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52DC4"/>
    <w:multiLevelType w:val="hybridMultilevel"/>
    <w:tmpl w:val="ADA645DA"/>
    <w:lvl w:ilvl="0" w:tplc="82D493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16DD2"/>
    <w:multiLevelType w:val="hybridMultilevel"/>
    <w:tmpl w:val="CCF0B776"/>
    <w:lvl w:ilvl="0" w:tplc="9CEA23B2">
      <w:start w:val="1"/>
      <w:numFmt w:val="bullet"/>
      <w:lvlText w:val=""/>
      <w:lvlJc w:val="left"/>
      <w:pPr>
        <w:ind w:left="785" w:hanging="360"/>
      </w:pPr>
      <w:rPr>
        <w:rFonts w:ascii="Symbol" w:hAnsi="Symbol" w:hint="default"/>
      </w:rPr>
    </w:lvl>
    <w:lvl w:ilvl="1" w:tplc="E03AB57A" w:tentative="1">
      <w:start w:val="1"/>
      <w:numFmt w:val="bullet"/>
      <w:lvlText w:val="o"/>
      <w:lvlJc w:val="left"/>
      <w:pPr>
        <w:ind w:left="1080" w:hanging="360"/>
      </w:pPr>
      <w:rPr>
        <w:rFonts w:ascii="Courier New" w:hAnsi="Courier New" w:cs="Courier New" w:hint="default"/>
      </w:rPr>
    </w:lvl>
    <w:lvl w:ilvl="2" w:tplc="82E878D8" w:tentative="1">
      <w:start w:val="1"/>
      <w:numFmt w:val="bullet"/>
      <w:lvlText w:val=""/>
      <w:lvlJc w:val="left"/>
      <w:pPr>
        <w:ind w:left="1800" w:hanging="360"/>
      </w:pPr>
      <w:rPr>
        <w:rFonts w:ascii="Wingdings" w:hAnsi="Wingdings" w:hint="default"/>
      </w:rPr>
    </w:lvl>
    <w:lvl w:ilvl="3" w:tplc="738C310E" w:tentative="1">
      <w:start w:val="1"/>
      <w:numFmt w:val="bullet"/>
      <w:lvlText w:val=""/>
      <w:lvlJc w:val="left"/>
      <w:pPr>
        <w:ind w:left="2520" w:hanging="360"/>
      </w:pPr>
      <w:rPr>
        <w:rFonts w:ascii="Symbol" w:hAnsi="Symbol" w:hint="default"/>
      </w:rPr>
    </w:lvl>
    <w:lvl w:ilvl="4" w:tplc="3BB86E02" w:tentative="1">
      <w:start w:val="1"/>
      <w:numFmt w:val="bullet"/>
      <w:lvlText w:val="o"/>
      <w:lvlJc w:val="left"/>
      <w:pPr>
        <w:ind w:left="3240" w:hanging="360"/>
      </w:pPr>
      <w:rPr>
        <w:rFonts w:ascii="Courier New" w:hAnsi="Courier New" w:cs="Courier New" w:hint="default"/>
      </w:rPr>
    </w:lvl>
    <w:lvl w:ilvl="5" w:tplc="B4A007B0" w:tentative="1">
      <w:start w:val="1"/>
      <w:numFmt w:val="bullet"/>
      <w:lvlText w:val=""/>
      <w:lvlJc w:val="left"/>
      <w:pPr>
        <w:ind w:left="3960" w:hanging="360"/>
      </w:pPr>
      <w:rPr>
        <w:rFonts w:ascii="Wingdings" w:hAnsi="Wingdings" w:hint="default"/>
      </w:rPr>
    </w:lvl>
    <w:lvl w:ilvl="6" w:tplc="47308A5E" w:tentative="1">
      <w:start w:val="1"/>
      <w:numFmt w:val="bullet"/>
      <w:lvlText w:val=""/>
      <w:lvlJc w:val="left"/>
      <w:pPr>
        <w:ind w:left="4680" w:hanging="360"/>
      </w:pPr>
      <w:rPr>
        <w:rFonts w:ascii="Symbol" w:hAnsi="Symbol" w:hint="default"/>
      </w:rPr>
    </w:lvl>
    <w:lvl w:ilvl="7" w:tplc="9C6C88FE" w:tentative="1">
      <w:start w:val="1"/>
      <w:numFmt w:val="bullet"/>
      <w:lvlText w:val="o"/>
      <w:lvlJc w:val="left"/>
      <w:pPr>
        <w:ind w:left="5400" w:hanging="360"/>
      </w:pPr>
      <w:rPr>
        <w:rFonts w:ascii="Courier New" w:hAnsi="Courier New" w:cs="Courier New" w:hint="default"/>
      </w:rPr>
    </w:lvl>
    <w:lvl w:ilvl="8" w:tplc="FE0E2332" w:tentative="1">
      <w:start w:val="1"/>
      <w:numFmt w:val="bullet"/>
      <w:lvlText w:val=""/>
      <w:lvlJc w:val="left"/>
      <w:pPr>
        <w:ind w:left="6120" w:hanging="360"/>
      </w:pPr>
      <w:rPr>
        <w:rFonts w:ascii="Wingdings" w:hAnsi="Wingdings" w:hint="default"/>
      </w:rPr>
    </w:lvl>
  </w:abstractNum>
  <w:abstractNum w:abstractNumId="11" w15:restartNumberingAfterBreak="0">
    <w:nsid w:val="2FBD2065"/>
    <w:multiLevelType w:val="hybridMultilevel"/>
    <w:tmpl w:val="11B82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B63D4A"/>
    <w:multiLevelType w:val="hybridMultilevel"/>
    <w:tmpl w:val="094ABFD6"/>
    <w:lvl w:ilvl="0" w:tplc="9CEA23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0105F"/>
    <w:multiLevelType w:val="multilevel"/>
    <w:tmpl w:val="A174735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3758EB"/>
    <w:multiLevelType w:val="multilevel"/>
    <w:tmpl w:val="0B8EB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C12F0"/>
    <w:multiLevelType w:val="hybridMultilevel"/>
    <w:tmpl w:val="0394987A"/>
    <w:lvl w:ilvl="0" w:tplc="0C3EFEF2">
      <w:start w:val="1"/>
      <w:numFmt w:val="bullet"/>
      <w:lvlText w:val=""/>
      <w:lvlJc w:val="left"/>
      <w:pPr>
        <w:ind w:left="360" w:hanging="360"/>
      </w:pPr>
      <w:rPr>
        <w:rFonts w:ascii="Symbol" w:hAnsi="Symbol" w:hint="default"/>
      </w:rPr>
    </w:lvl>
    <w:lvl w:ilvl="1" w:tplc="33943E8C" w:tentative="1">
      <w:start w:val="1"/>
      <w:numFmt w:val="bullet"/>
      <w:lvlText w:val="o"/>
      <w:lvlJc w:val="left"/>
      <w:pPr>
        <w:ind w:left="1080" w:hanging="360"/>
      </w:pPr>
      <w:rPr>
        <w:rFonts w:ascii="Courier New" w:hAnsi="Courier New" w:cs="Courier New" w:hint="default"/>
      </w:rPr>
    </w:lvl>
    <w:lvl w:ilvl="2" w:tplc="CE96CF20" w:tentative="1">
      <w:start w:val="1"/>
      <w:numFmt w:val="bullet"/>
      <w:lvlText w:val=""/>
      <w:lvlJc w:val="left"/>
      <w:pPr>
        <w:ind w:left="1800" w:hanging="360"/>
      </w:pPr>
      <w:rPr>
        <w:rFonts w:ascii="Wingdings" w:hAnsi="Wingdings" w:hint="default"/>
      </w:rPr>
    </w:lvl>
    <w:lvl w:ilvl="3" w:tplc="90800D6C" w:tentative="1">
      <w:start w:val="1"/>
      <w:numFmt w:val="bullet"/>
      <w:lvlText w:val=""/>
      <w:lvlJc w:val="left"/>
      <w:pPr>
        <w:ind w:left="2520" w:hanging="360"/>
      </w:pPr>
      <w:rPr>
        <w:rFonts w:ascii="Symbol" w:hAnsi="Symbol" w:hint="default"/>
      </w:rPr>
    </w:lvl>
    <w:lvl w:ilvl="4" w:tplc="55C85E60" w:tentative="1">
      <w:start w:val="1"/>
      <w:numFmt w:val="bullet"/>
      <w:lvlText w:val="o"/>
      <w:lvlJc w:val="left"/>
      <w:pPr>
        <w:ind w:left="3240" w:hanging="360"/>
      </w:pPr>
      <w:rPr>
        <w:rFonts w:ascii="Courier New" w:hAnsi="Courier New" w:cs="Courier New" w:hint="default"/>
      </w:rPr>
    </w:lvl>
    <w:lvl w:ilvl="5" w:tplc="EB826A18" w:tentative="1">
      <w:start w:val="1"/>
      <w:numFmt w:val="bullet"/>
      <w:lvlText w:val=""/>
      <w:lvlJc w:val="left"/>
      <w:pPr>
        <w:ind w:left="3960" w:hanging="360"/>
      </w:pPr>
      <w:rPr>
        <w:rFonts w:ascii="Wingdings" w:hAnsi="Wingdings" w:hint="default"/>
      </w:rPr>
    </w:lvl>
    <w:lvl w:ilvl="6" w:tplc="B42CB3E2" w:tentative="1">
      <w:start w:val="1"/>
      <w:numFmt w:val="bullet"/>
      <w:lvlText w:val=""/>
      <w:lvlJc w:val="left"/>
      <w:pPr>
        <w:ind w:left="4680" w:hanging="360"/>
      </w:pPr>
      <w:rPr>
        <w:rFonts w:ascii="Symbol" w:hAnsi="Symbol" w:hint="default"/>
      </w:rPr>
    </w:lvl>
    <w:lvl w:ilvl="7" w:tplc="51B6288C" w:tentative="1">
      <w:start w:val="1"/>
      <w:numFmt w:val="bullet"/>
      <w:lvlText w:val="o"/>
      <w:lvlJc w:val="left"/>
      <w:pPr>
        <w:ind w:left="5400" w:hanging="360"/>
      </w:pPr>
      <w:rPr>
        <w:rFonts w:ascii="Courier New" w:hAnsi="Courier New" w:cs="Courier New" w:hint="default"/>
      </w:rPr>
    </w:lvl>
    <w:lvl w:ilvl="8" w:tplc="C5EA3A2E" w:tentative="1">
      <w:start w:val="1"/>
      <w:numFmt w:val="bullet"/>
      <w:lvlText w:val=""/>
      <w:lvlJc w:val="left"/>
      <w:pPr>
        <w:ind w:left="6120" w:hanging="360"/>
      </w:pPr>
      <w:rPr>
        <w:rFonts w:ascii="Wingdings" w:hAnsi="Wingdings" w:hint="default"/>
      </w:rPr>
    </w:lvl>
  </w:abstractNum>
  <w:abstractNum w:abstractNumId="2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2F6649"/>
    <w:multiLevelType w:val="hybridMultilevel"/>
    <w:tmpl w:val="832A7D30"/>
    <w:lvl w:ilvl="0" w:tplc="207A741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139F0"/>
    <w:multiLevelType w:val="hybridMultilevel"/>
    <w:tmpl w:val="E33C1926"/>
    <w:lvl w:ilvl="0" w:tplc="9D10DD4C">
      <w:start w:val="1"/>
      <w:numFmt w:val="bullet"/>
      <w:lvlText w:val=""/>
      <w:lvlJc w:val="left"/>
      <w:pPr>
        <w:ind w:left="360" w:hanging="360"/>
      </w:pPr>
      <w:rPr>
        <w:rFonts w:ascii="Symbol" w:hAnsi="Symbol" w:hint="default"/>
      </w:rPr>
    </w:lvl>
    <w:lvl w:ilvl="1" w:tplc="68E225F4" w:tentative="1">
      <w:start w:val="1"/>
      <w:numFmt w:val="bullet"/>
      <w:lvlText w:val="o"/>
      <w:lvlJc w:val="left"/>
      <w:pPr>
        <w:ind w:left="1080" w:hanging="360"/>
      </w:pPr>
      <w:rPr>
        <w:rFonts w:ascii="Courier New" w:hAnsi="Courier New" w:cs="Courier New" w:hint="default"/>
      </w:rPr>
    </w:lvl>
    <w:lvl w:ilvl="2" w:tplc="6E40E900" w:tentative="1">
      <w:start w:val="1"/>
      <w:numFmt w:val="bullet"/>
      <w:lvlText w:val=""/>
      <w:lvlJc w:val="left"/>
      <w:pPr>
        <w:ind w:left="1800" w:hanging="360"/>
      </w:pPr>
      <w:rPr>
        <w:rFonts w:ascii="Wingdings" w:hAnsi="Wingdings" w:hint="default"/>
      </w:rPr>
    </w:lvl>
    <w:lvl w:ilvl="3" w:tplc="5780256C" w:tentative="1">
      <w:start w:val="1"/>
      <w:numFmt w:val="bullet"/>
      <w:lvlText w:val=""/>
      <w:lvlJc w:val="left"/>
      <w:pPr>
        <w:ind w:left="2520" w:hanging="360"/>
      </w:pPr>
      <w:rPr>
        <w:rFonts w:ascii="Symbol" w:hAnsi="Symbol" w:hint="default"/>
      </w:rPr>
    </w:lvl>
    <w:lvl w:ilvl="4" w:tplc="0568EA68" w:tentative="1">
      <w:start w:val="1"/>
      <w:numFmt w:val="bullet"/>
      <w:lvlText w:val="o"/>
      <w:lvlJc w:val="left"/>
      <w:pPr>
        <w:ind w:left="3240" w:hanging="360"/>
      </w:pPr>
      <w:rPr>
        <w:rFonts w:ascii="Courier New" w:hAnsi="Courier New" w:cs="Courier New" w:hint="default"/>
      </w:rPr>
    </w:lvl>
    <w:lvl w:ilvl="5" w:tplc="3724DE8E" w:tentative="1">
      <w:start w:val="1"/>
      <w:numFmt w:val="bullet"/>
      <w:lvlText w:val=""/>
      <w:lvlJc w:val="left"/>
      <w:pPr>
        <w:ind w:left="3960" w:hanging="360"/>
      </w:pPr>
      <w:rPr>
        <w:rFonts w:ascii="Wingdings" w:hAnsi="Wingdings" w:hint="default"/>
      </w:rPr>
    </w:lvl>
    <w:lvl w:ilvl="6" w:tplc="7938E162" w:tentative="1">
      <w:start w:val="1"/>
      <w:numFmt w:val="bullet"/>
      <w:lvlText w:val=""/>
      <w:lvlJc w:val="left"/>
      <w:pPr>
        <w:ind w:left="4680" w:hanging="360"/>
      </w:pPr>
      <w:rPr>
        <w:rFonts w:ascii="Symbol" w:hAnsi="Symbol" w:hint="default"/>
      </w:rPr>
    </w:lvl>
    <w:lvl w:ilvl="7" w:tplc="FEA24D7E" w:tentative="1">
      <w:start w:val="1"/>
      <w:numFmt w:val="bullet"/>
      <w:lvlText w:val="o"/>
      <w:lvlJc w:val="left"/>
      <w:pPr>
        <w:ind w:left="5400" w:hanging="360"/>
      </w:pPr>
      <w:rPr>
        <w:rFonts w:ascii="Courier New" w:hAnsi="Courier New" w:cs="Courier New" w:hint="default"/>
      </w:rPr>
    </w:lvl>
    <w:lvl w:ilvl="8" w:tplc="50EE44BC" w:tentative="1">
      <w:start w:val="1"/>
      <w:numFmt w:val="bullet"/>
      <w:lvlText w:val=""/>
      <w:lvlJc w:val="left"/>
      <w:pPr>
        <w:ind w:left="6120" w:hanging="360"/>
      </w:pPr>
      <w:rPr>
        <w:rFonts w:ascii="Wingdings" w:hAnsi="Wingdings" w:hint="default"/>
      </w:rPr>
    </w:lvl>
  </w:abstractNum>
  <w:abstractNum w:abstractNumId="23" w15:restartNumberingAfterBreak="0">
    <w:nsid w:val="6984373B"/>
    <w:multiLevelType w:val="hybridMultilevel"/>
    <w:tmpl w:val="2EA6200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9E1FD3"/>
    <w:multiLevelType w:val="hybridMultilevel"/>
    <w:tmpl w:val="4FF61C3C"/>
    <w:lvl w:ilvl="0" w:tplc="11765C9A">
      <w:start w:val="1"/>
      <w:numFmt w:val="bullet"/>
      <w:lvlText w:val=""/>
      <w:lvlJc w:val="left"/>
      <w:pPr>
        <w:ind w:left="360" w:hanging="360"/>
      </w:pPr>
      <w:rPr>
        <w:rFonts w:ascii="Symbol" w:hAnsi="Symbol" w:hint="default"/>
      </w:rPr>
    </w:lvl>
    <w:lvl w:ilvl="1" w:tplc="EA2653F6" w:tentative="1">
      <w:start w:val="1"/>
      <w:numFmt w:val="bullet"/>
      <w:lvlText w:val="o"/>
      <w:lvlJc w:val="left"/>
      <w:pPr>
        <w:ind w:left="1080" w:hanging="360"/>
      </w:pPr>
      <w:rPr>
        <w:rFonts w:ascii="Courier New" w:hAnsi="Courier New" w:cs="Courier New" w:hint="default"/>
      </w:rPr>
    </w:lvl>
    <w:lvl w:ilvl="2" w:tplc="8C1CB886" w:tentative="1">
      <w:start w:val="1"/>
      <w:numFmt w:val="bullet"/>
      <w:lvlText w:val=""/>
      <w:lvlJc w:val="left"/>
      <w:pPr>
        <w:ind w:left="1800" w:hanging="360"/>
      </w:pPr>
      <w:rPr>
        <w:rFonts w:ascii="Wingdings" w:hAnsi="Wingdings" w:hint="default"/>
      </w:rPr>
    </w:lvl>
    <w:lvl w:ilvl="3" w:tplc="8A16F8C0" w:tentative="1">
      <w:start w:val="1"/>
      <w:numFmt w:val="bullet"/>
      <w:lvlText w:val=""/>
      <w:lvlJc w:val="left"/>
      <w:pPr>
        <w:ind w:left="2520" w:hanging="360"/>
      </w:pPr>
      <w:rPr>
        <w:rFonts w:ascii="Symbol" w:hAnsi="Symbol" w:hint="default"/>
      </w:rPr>
    </w:lvl>
    <w:lvl w:ilvl="4" w:tplc="904E9A64" w:tentative="1">
      <w:start w:val="1"/>
      <w:numFmt w:val="bullet"/>
      <w:lvlText w:val="o"/>
      <w:lvlJc w:val="left"/>
      <w:pPr>
        <w:ind w:left="3240" w:hanging="360"/>
      </w:pPr>
      <w:rPr>
        <w:rFonts w:ascii="Courier New" w:hAnsi="Courier New" w:cs="Courier New" w:hint="default"/>
      </w:rPr>
    </w:lvl>
    <w:lvl w:ilvl="5" w:tplc="5EAC690C" w:tentative="1">
      <w:start w:val="1"/>
      <w:numFmt w:val="bullet"/>
      <w:lvlText w:val=""/>
      <w:lvlJc w:val="left"/>
      <w:pPr>
        <w:ind w:left="3960" w:hanging="360"/>
      </w:pPr>
      <w:rPr>
        <w:rFonts w:ascii="Wingdings" w:hAnsi="Wingdings" w:hint="default"/>
      </w:rPr>
    </w:lvl>
    <w:lvl w:ilvl="6" w:tplc="8F9CEB0E" w:tentative="1">
      <w:start w:val="1"/>
      <w:numFmt w:val="bullet"/>
      <w:lvlText w:val=""/>
      <w:lvlJc w:val="left"/>
      <w:pPr>
        <w:ind w:left="4680" w:hanging="360"/>
      </w:pPr>
      <w:rPr>
        <w:rFonts w:ascii="Symbol" w:hAnsi="Symbol" w:hint="default"/>
      </w:rPr>
    </w:lvl>
    <w:lvl w:ilvl="7" w:tplc="258CBB96" w:tentative="1">
      <w:start w:val="1"/>
      <w:numFmt w:val="bullet"/>
      <w:lvlText w:val="o"/>
      <w:lvlJc w:val="left"/>
      <w:pPr>
        <w:ind w:left="5400" w:hanging="360"/>
      </w:pPr>
      <w:rPr>
        <w:rFonts w:ascii="Courier New" w:hAnsi="Courier New" w:cs="Courier New" w:hint="default"/>
      </w:rPr>
    </w:lvl>
    <w:lvl w:ilvl="8" w:tplc="0B6A5E64" w:tentative="1">
      <w:start w:val="1"/>
      <w:numFmt w:val="bullet"/>
      <w:lvlText w:val=""/>
      <w:lvlJc w:val="left"/>
      <w:pPr>
        <w:ind w:left="6120" w:hanging="360"/>
      </w:pPr>
      <w:rPr>
        <w:rFonts w:ascii="Wingdings" w:hAnsi="Wingdings" w:hint="default"/>
      </w:rPr>
    </w:lvl>
  </w:abstractNum>
  <w:abstractNum w:abstractNumId="2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BA1286"/>
    <w:multiLevelType w:val="hybridMultilevel"/>
    <w:tmpl w:val="80FA8F5E"/>
    <w:lvl w:ilvl="0" w:tplc="9946C0F2">
      <w:start w:val="1"/>
      <w:numFmt w:val="bullet"/>
      <w:lvlText w:val=""/>
      <w:lvlJc w:val="left"/>
      <w:pPr>
        <w:ind w:left="360" w:hanging="360"/>
      </w:pPr>
      <w:rPr>
        <w:rFonts w:ascii="Symbol" w:hAnsi="Symbol" w:hint="default"/>
      </w:rPr>
    </w:lvl>
    <w:lvl w:ilvl="1" w:tplc="A11E9404" w:tentative="1">
      <w:start w:val="1"/>
      <w:numFmt w:val="bullet"/>
      <w:lvlText w:val="o"/>
      <w:lvlJc w:val="left"/>
      <w:pPr>
        <w:ind w:left="1080" w:hanging="360"/>
      </w:pPr>
      <w:rPr>
        <w:rFonts w:ascii="Courier New" w:hAnsi="Courier New" w:cs="Courier New" w:hint="default"/>
      </w:rPr>
    </w:lvl>
    <w:lvl w:ilvl="2" w:tplc="D2AA61E0" w:tentative="1">
      <w:start w:val="1"/>
      <w:numFmt w:val="bullet"/>
      <w:lvlText w:val=""/>
      <w:lvlJc w:val="left"/>
      <w:pPr>
        <w:ind w:left="1800" w:hanging="360"/>
      </w:pPr>
      <w:rPr>
        <w:rFonts w:ascii="Wingdings" w:hAnsi="Wingdings" w:hint="default"/>
      </w:rPr>
    </w:lvl>
    <w:lvl w:ilvl="3" w:tplc="42727106" w:tentative="1">
      <w:start w:val="1"/>
      <w:numFmt w:val="bullet"/>
      <w:lvlText w:val=""/>
      <w:lvlJc w:val="left"/>
      <w:pPr>
        <w:ind w:left="2520" w:hanging="360"/>
      </w:pPr>
      <w:rPr>
        <w:rFonts w:ascii="Symbol" w:hAnsi="Symbol" w:hint="default"/>
      </w:rPr>
    </w:lvl>
    <w:lvl w:ilvl="4" w:tplc="6F6AB5CE" w:tentative="1">
      <w:start w:val="1"/>
      <w:numFmt w:val="bullet"/>
      <w:lvlText w:val="o"/>
      <w:lvlJc w:val="left"/>
      <w:pPr>
        <w:ind w:left="3240" w:hanging="360"/>
      </w:pPr>
      <w:rPr>
        <w:rFonts w:ascii="Courier New" w:hAnsi="Courier New" w:cs="Courier New" w:hint="default"/>
      </w:rPr>
    </w:lvl>
    <w:lvl w:ilvl="5" w:tplc="3A589120" w:tentative="1">
      <w:start w:val="1"/>
      <w:numFmt w:val="bullet"/>
      <w:lvlText w:val=""/>
      <w:lvlJc w:val="left"/>
      <w:pPr>
        <w:ind w:left="3960" w:hanging="360"/>
      </w:pPr>
      <w:rPr>
        <w:rFonts w:ascii="Wingdings" w:hAnsi="Wingdings" w:hint="default"/>
      </w:rPr>
    </w:lvl>
    <w:lvl w:ilvl="6" w:tplc="F6408A3C" w:tentative="1">
      <w:start w:val="1"/>
      <w:numFmt w:val="bullet"/>
      <w:lvlText w:val=""/>
      <w:lvlJc w:val="left"/>
      <w:pPr>
        <w:ind w:left="4680" w:hanging="360"/>
      </w:pPr>
      <w:rPr>
        <w:rFonts w:ascii="Symbol" w:hAnsi="Symbol" w:hint="default"/>
      </w:rPr>
    </w:lvl>
    <w:lvl w:ilvl="7" w:tplc="AB88EE04" w:tentative="1">
      <w:start w:val="1"/>
      <w:numFmt w:val="bullet"/>
      <w:lvlText w:val="o"/>
      <w:lvlJc w:val="left"/>
      <w:pPr>
        <w:ind w:left="5400" w:hanging="360"/>
      </w:pPr>
      <w:rPr>
        <w:rFonts w:ascii="Courier New" w:hAnsi="Courier New" w:cs="Courier New" w:hint="default"/>
      </w:rPr>
    </w:lvl>
    <w:lvl w:ilvl="8" w:tplc="B70CDC6E" w:tentative="1">
      <w:start w:val="1"/>
      <w:numFmt w:val="bullet"/>
      <w:lvlText w:val=""/>
      <w:lvlJc w:val="left"/>
      <w:pPr>
        <w:ind w:left="6120" w:hanging="360"/>
      </w:pPr>
      <w:rPr>
        <w:rFonts w:ascii="Wingdings" w:hAnsi="Wingdings" w:hint="default"/>
      </w:rPr>
    </w:lvl>
  </w:abstractNum>
  <w:abstractNum w:abstractNumId="27" w15:restartNumberingAfterBreak="0">
    <w:nsid w:val="7EF13539"/>
    <w:multiLevelType w:val="hybridMultilevel"/>
    <w:tmpl w:val="31FA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47B8C"/>
    <w:multiLevelType w:val="multilevel"/>
    <w:tmpl w:val="E9E22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9" w15:restartNumberingAfterBreak="0">
    <w:nsid w:val="7FE67581"/>
    <w:multiLevelType w:val="hybridMultilevel"/>
    <w:tmpl w:val="46A2425C"/>
    <w:lvl w:ilvl="0" w:tplc="0510A164">
      <w:start w:val="1"/>
      <w:numFmt w:val="bullet"/>
      <w:lvlText w:val=""/>
      <w:lvlJc w:val="left"/>
      <w:pPr>
        <w:ind w:left="360" w:hanging="360"/>
      </w:pPr>
      <w:rPr>
        <w:rFonts w:ascii="Symbol" w:hAnsi="Symbol" w:hint="default"/>
      </w:rPr>
    </w:lvl>
    <w:lvl w:ilvl="1" w:tplc="14FA2FAC" w:tentative="1">
      <w:start w:val="1"/>
      <w:numFmt w:val="bullet"/>
      <w:lvlText w:val="o"/>
      <w:lvlJc w:val="left"/>
      <w:pPr>
        <w:ind w:left="1080" w:hanging="360"/>
      </w:pPr>
      <w:rPr>
        <w:rFonts w:ascii="Courier New" w:hAnsi="Courier New" w:cs="Courier New" w:hint="default"/>
      </w:rPr>
    </w:lvl>
    <w:lvl w:ilvl="2" w:tplc="307ED8AA" w:tentative="1">
      <w:start w:val="1"/>
      <w:numFmt w:val="bullet"/>
      <w:lvlText w:val=""/>
      <w:lvlJc w:val="left"/>
      <w:pPr>
        <w:ind w:left="1800" w:hanging="360"/>
      </w:pPr>
      <w:rPr>
        <w:rFonts w:ascii="Wingdings" w:hAnsi="Wingdings" w:hint="default"/>
      </w:rPr>
    </w:lvl>
    <w:lvl w:ilvl="3" w:tplc="938008E2" w:tentative="1">
      <w:start w:val="1"/>
      <w:numFmt w:val="bullet"/>
      <w:lvlText w:val=""/>
      <w:lvlJc w:val="left"/>
      <w:pPr>
        <w:ind w:left="2520" w:hanging="360"/>
      </w:pPr>
      <w:rPr>
        <w:rFonts w:ascii="Symbol" w:hAnsi="Symbol" w:hint="default"/>
      </w:rPr>
    </w:lvl>
    <w:lvl w:ilvl="4" w:tplc="3386F150" w:tentative="1">
      <w:start w:val="1"/>
      <w:numFmt w:val="bullet"/>
      <w:lvlText w:val="o"/>
      <w:lvlJc w:val="left"/>
      <w:pPr>
        <w:ind w:left="3240" w:hanging="360"/>
      </w:pPr>
      <w:rPr>
        <w:rFonts w:ascii="Courier New" w:hAnsi="Courier New" w:cs="Courier New" w:hint="default"/>
      </w:rPr>
    </w:lvl>
    <w:lvl w:ilvl="5" w:tplc="33ACA210" w:tentative="1">
      <w:start w:val="1"/>
      <w:numFmt w:val="bullet"/>
      <w:lvlText w:val=""/>
      <w:lvlJc w:val="left"/>
      <w:pPr>
        <w:ind w:left="3960" w:hanging="360"/>
      </w:pPr>
      <w:rPr>
        <w:rFonts w:ascii="Wingdings" w:hAnsi="Wingdings" w:hint="default"/>
      </w:rPr>
    </w:lvl>
    <w:lvl w:ilvl="6" w:tplc="D2E4175E" w:tentative="1">
      <w:start w:val="1"/>
      <w:numFmt w:val="bullet"/>
      <w:lvlText w:val=""/>
      <w:lvlJc w:val="left"/>
      <w:pPr>
        <w:ind w:left="4680" w:hanging="360"/>
      </w:pPr>
      <w:rPr>
        <w:rFonts w:ascii="Symbol" w:hAnsi="Symbol" w:hint="default"/>
      </w:rPr>
    </w:lvl>
    <w:lvl w:ilvl="7" w:tplc="DF1CCE54" w:tentative="1">
      <w:start w:val="1"/>
      <w:numFmt w:val="bullet"/>
      <w:lvlText w:val="o"/>
      <w:lvlJc w:val="left"/>
      <w:pPr>
        <w:ind w:left="5400" w:hanging="360"/>
      </w:pPr>
      <w:rPr>
        <w:rFonts w:ascii="Courier New" w:hAnsi="Courier New" w:cs="Courier New" w:hint="default"/>
      </w:rPr>
    </w:lvl>
    <w:lvl w:ilvl="8" w:tplc="E71E20B2"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2"/>
  </w:num>
  <w:num w:numId="4">
    <w:abstractNumId w:val="14"/>
  </w:num>
  <w:num w:numId="5">
    <w:abstractNumId w:val="20"/>
  </w:num>
  <w:num w:numId="6">
    <w:abstractNumId w:val="7"/>
  </w:num>
  <w:num w:numId="7">
    <w:abstractNumId w:val="16"/>
  </w:num>
  <w:num w:numId="8">
    <w:abstractNumId w:val="15"/>
  </w:num>
  <w:num w:numId="9">
    <w:abstractNumId w:val="25"/>
  </w:num>
  <w:num w:numId="10">
    <w:abstractNumId w:val="5"/>
  </w:num>
  <w:num w:numId="11">
    <w:abstractNumId w:val="21"/>
  </w:num>
  <w:num w:numId="12">
    <w:abstractNumId w:val="23"/>
  </w:num>
  <w:num w:numId="13">
    <w:abstractNumId w:val="3"/>
  </w:num>
  <w:num w:numId="14">
    <w:abstractNumId w:val="29"/>
  </w:num>
  <w:num w:numId="15">
    <w:abstractNumId w:val="24"/>
  </w:num>
  <w:num w:numId="16">
    <w:abstractNumId w:val="28"/>
  </w:num>
  <w:num w:numId="17">
    <w:abstractNumId w:val="10"/>
  </w:num>
  <w:num w:numId="18">
    <w:abstractNumId w:val="4"/>
  </w:num>
  <w:num w:numId="19">
    <w:abstractNumId w:val="19"/>
  </w:num>
  <w:num w:numId="20">
    <w:abstractNumId w:val="26"/>
  </w:num>
  <w:num w:numId="21">
    <w:abstractNumId w:val="0"/>
  </w:num>
  <w:num w:numId="22">
    <w:abstractNumId w:val="6"/>
  </w:num>
  <w:num w:numId="23">
    <w:abstractNumId w:val="11"/>
  </w:num>
  <w:num w:numId="24">
    <w:abstractNumId w:val="22"/>
  </w:num>
  <w:num w:numId="25">
    <w:abstractNumId w:val="8"/>
  </w:num>
  <w:num w:numId="26">
    <w:abstractNumId w:val="18"/>
  </w:num>
  <w:num w:numId="27">
    <w:abstractNumId w:val="1"/>
  </w:num>
  <w:num w:numId="28">
    <w:abstractNumId w:val="12"/>
  </w:num>
  <w:num w:numId="29">
    <w:abstractNumId w:val="17"/>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41181"/>
    <w:rsid w:val="000502CA"/>
    <w:rsid w:val="0006235B"/>
    <w:rsid w:val="00076C9E"/>
    <w:rsid w:val="0008440E"/>
    <w:rsid w:val="00092E9D"/>
    <w:rsid w:val="00094CCC"/>
    <w:rsid w:val="000A588D"/>
    <w:rsid w:val="000A791C"/>
    <w:rsid w:val="000B478D"/>
    <w:rsid w:val="000B5577"/>
    <w:rsid w:val="000B7E68"/>
    <w:rsid w:val="000C13CD"/>
    <w:rsid w:val="000C4B86"/>
    <w:rsid w:val="000C7AD5"/>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59AA"/>
    <w:rsid w:val="001740C9"/>
    <w:rsid w:val="0017792D"/>
    <w:rsid w:val="00181147"/>
    <w:rsid w:val="0018544D"/>
    <w:rsid w:val="001D0BF6"/>
    <w:rsid w:val="001D1ED1"/>
    <w:rsid w:val="001E04FB"/>
    <w:rsid w:val="001E0D3F"/>
    <w:rsid w:val="001E70DD"/>
    <w:rsid w:val="001F1BE5"/>
    <w:rsid w:val="001F671D"/>
    <w:rsid w:val="00200E79"/>
    <w:rsid w:val="002101F4"/>
    <w:rsid w:val="0021133C"/>
    <w:rsid w:val="00214A1F"/>
    <w:rsid w:val="00220B6D"/>
    <w:rsid w:val="0022254D"/>
    <w:rsid w:val="00224FFA"/>
    <w:rsid w:val="002448DD"/>
    <w:rsid w:val="002524A2"/>
    <w:rsid w:val="00254FFD"/>
    <w:rsid w:val="00263C61"/>
    <w:rsid w:val="00267FC6"/>
    <w:rsid w:val="00281FF3"/>
    <w:rsid w:val="00284FE7"/>
    <w:rsid w:val="00290042"/>
    <w:rsid w:val="00294E84"/>
    <w:rsid w:val="002A155D"/>
    <w:rsid w:val="002A31F8"/>
    <w:rsid w:val="002A481E"/>
    <w:rsid w:val="002A7B3E"/>
    <w:rsid w:val="002B0F6C"/>
    <w:rsid w:val="002B31F0"/>
    <w:rsid w:val="002B37F2"/>
    <w:rsid w:val="002D0F32"/>
    <w:rsid w:val="002E0B4B"/>
    <w:rsid w:val="002E288A"/>
    <w:rsid w:val="002E525A"/>
    <w:rsid w:val="002E5CB2"/>
    <w:rsid w:val="002E71B5"/>
    <w:rsid w:val="003063C3"/>
    <w:rsid w:val="00314B88"/>
    <w:rsid w:val="00316C1E"/>
    <w:rsid w:val="0032242F"/>
    <w:rsid w:val="00325329"/>
    <w:rsid w:val="00327DA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54A27"/>
    <w:rsid w:val="00464AB9"/>
    <w:rsid w:val="00471891"/>
    <w:rsid w:val="00480A8D"/>
    <w:rsid w:val="00486A39"/>
    <w:rsid w:val="00492633"/>
    <w:rsid w:val="004B1F71"/>
    <w:rsid w:val="004B4D11"/>
    <w:rsid w:val="004B76EC"/>
    <w:rsid w:val="004E50F6"/>
    <w:rsid w:val="004F0410"/>
    <w:rsid w:val="004F50F2"/>
    <w:rsid w:val="004F5A5A"/>
    <w:rsid w:val="005039EC"/>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A054F"/>
    <w:rsid w:val="005A1696"/>
    <w:rsid w:val="005A6908"/>
    <w:rsid w:val="005B0019"/>
    <w:rsid w:val="005B311D"/>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44C18"/>
    <w:rsid w:val="00650552"/>
    <w:rsid w:val="00655D60"/>
    <w:rsid w:val="0066074A"/>
    <w:rsid w:val="006617EC"/>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065DE"/>
    <w:rsid w:val="00707506"/>
    <w:rsid w:val="0071271E"/>
    <w:rsid w:val="00730199"/>
    <w:rsid w:val="00730BFB"/>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D1B6C"/>
    <w:rsid w:val="007E0CE5"/>
    <w:rsid w:val="007E4766"/>
    <w:rsid w:val="007F4848"/>
    <w:rsid w:val="00800A34"/>
    <w:rsid w:val="00812D27"/>
    <w:rsid w:val="0083702D"/>
    <w:rsid w:val="00845D99"/>
    <w:rsid w:val="00847D35"/>
    <w:rsid w:val="00850902"/>
    <w:rsid w:val="00861D3D"/>
    <w:rsid w:val="00870AF5"/>
    <w:rsid w:val="00872A12"/>
    <w:rsid w:val="008A75C0"/>
    <w:rsid w:val="008C23D0"/>
    <w:rsid w:val="008C50B1"/>
    <w:rsid w:val="008D14F5"/>
    <w:rsid w:val="008D5ACE"/>
    <w:rsid w:val="008E2088"/>
    <w:rsid w:val="008E47DD"/>
    <w:rsid w:val="008F6E2E"/>
    <w:rsid w:val="00913E85"/>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A5719"/>
    <w:rsid w:val="009B376D"/>
    <w:rsid w:val="009B42DE"/>
    <w:rsid w:val="009C2CB7"/>
    <w:rsid w:val="009C5C3A"/>
    <w:rsid w:val="009C6AED"/>
    <w:rsid w:val="009F515B"/>
    <w:rsid w:val="009F7D42"/>
    <w:rsid w:val="00A01205"/>
    <w:rsid w:val="00A073DC"/>
    <w:rsid w:val="00A10F1A"/>
    <w:rsid w:val="00A239BE"/>
    <w:rsid w:val="00A259F3"/>
    <w:rsid w:val="00A43686"/>
    <w:rsid w:val="00A53E90"/>
    <w:rsid w:val="00A546A8"/>
    <w:rsid w:val="00A64C25"/>
    <w:rsid w:val="00A66D7E"/>
    <w:rsid w:val="00A84DD7"/>
    <w:rsid w:val="00A87A3A"/>
    <w:rsid w:val="00A94E28"/>
    <w:rsid w:val="00AA22C7"/>
    <w:rsid w:val="00AA28A5"/>
    <w:rsid w:val="00AB4191"/>
    <w:rsid w:val="00AB56BD"/>
    <w:rsid w:val="00AB5C64"/>
    <w:rsid w:val="00AD4DBE"/>
    <w:rsid w:val="00AF222C"/>
    <w:rsid w:val="00AF32D1"/>
    <w:rsid w:val="00AF774B"/>
    <w:rsid w:val="00AF7F77"/>
    <w:rsid w:val="00B00725"/>
    <w:rsid w:val="00B110DE"/>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57CAB"/>
    <w:rsid w:val="00B63E0D"/>
    <w:rsid w:val="00B65F06"/>
    <w:rsid w:val="00B71730"/>
    <w:rsid w:val="00B76CF1"/>
    <w:rsid w:val="00B804C5"/>
    <w:rsid w:val="00B81AB0"/>
    <w:rsid w:val="00B85DDE"/>
    <w:rsid w:val="00B905AB"/>
    <w:rsid w:val="00BA01E9"/>
    <w:rsid w:val="00BA191A"/>
    <w:rsid w:val="00BA778C"/>
    <w:rsid w:val="00BC0E9B"/>
    <w:rsid w:val="00BC5A48"/>
    <w:rsid w:val="00BD1295"/>
    <w:rsid w:val="00BD5F3C"/>
    <w:rsid w:val="00BF1ECC"/>
    <w:rsid w:val="00BF1ED5"/>
    <w:rsid w:val="00BF34CD"/>
    <w:rsid w:val="00BF6950"/>
    <w:rsid w:val="00C04A7D"/>
    <w:rsid w:val="00C05E37"/>
    <w:rsid w:val="00C241E1"/>
    <w:rsid w:val="00C247C0"/>
    <w:rsid w:val="00C274AD"/>
    <w:rsid w:val="00C54E45"/>
    <w:rsid w:val="00C56411"/>
    <w:rsid w:val="00C57248"/>
    <w:rsid w:val="00C62756"/>
    <w:rsid w:val="00C62C06"/>
    <w:rsid w:val="00C651EE"/>
    <w:rsid w:val="00C758B4"/>
    <w:rsid w:val="00C8197E"/>
    <w:rsid w:val="00C83138"/>
    <w:rsid w:val="00C83379"/>
    <w:rsid w:val="00C83CBD"/>
    <w:rsid w:val="00C92F62"/>
    <w:rsid w:val="00CA35E7"/>
    <w:rsid w:val="00CA4671"/>
    <w:rsid w:val="00CA518D"/>
    <w:rsid w:val="00CB04F5"/>
    <w:rsid w:val="00CB1C75"/>
    <w:rsid w:val="00CC4950"/>
    <w:rsid w:val="00CD0015"/>
    <w:rsid w:val="00CD1B7E"/>
    <w:rsid w:val="00CE7554"/>
    <w:rsid w:val="00CF4A24"/>
    <w:rsid w:val="00CF6410"/>
    <w:rsid w:val="00CF72AB"/>
    <w:rsid w:val="00D1494A"/>
    <w:rsid w:val="00D36985"/>
    <w:rsid w:val="00D408BD"/>
    <w:rsid w:val="00D41E1D"/>
    <w:rsid w:val="00D510BD"/>
    <w:rsid w:val="00D5463C"/>
    <w:rsid w:val="00D54A77"/>
    <w:rsid w:val="00D75463"/>
    <w:rsid w:val="00D81D0B"/>
    <w:rsid w:val="00D94D86"/>
    <w:rsid w:val="00D95520"/>
    <w:rsid w:val="00DA2680"/>
    <w:rsid w:val="00DA65C4"/>
    <w:rsid w:val="00DA6710"/>
    <w:rsid w:val="00DB30B9"/>
    <w:rsid w:val="00DB616B"/>
    <w:rsid w:val="00DC1969"/>
    <w:rsid w:val="00DC36DD"/>
    <w:rsid w:val="00DD67B2"/>
    <w:rsid w:val="00DD773F"/>
    <w:rsid w:val="00DF6AE5"/>
    <w:rsid w:val="00DF71AC"/>
    <w:rsid w:val="00E006AB"/>
    <w:rsid w:val="00E10AF3"/>
    <w:rsid w:val="00E1154E"/>
    <w:rsid w:val="00E12163"/>
    <w:rsid w:val="00E12FD3"/>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5D58"/>
    <w:rsid w:val="00E80A23"/>
    <w:rsid w:val="00E86E6C"/>
    <w:rsid w:val="00E91A16"/>
    <w:rsid w:val="00E96E07"/>
    <w:rsid w:val="00EA1819"/>
    <w:rsid w:val="00EA1A2B"/>
    <w:rsid w:val="00EA4165"/>
    <w:rsid w:val="00EA5D03"/>
    <w:rsid w:val="00EB06FE"/>
    <w:rsid w:val="00ED0520"/>
    <w:rsid w:val="00ED221E"/>
    <w:rsid w:val="00EE040A"/>
    <w:rsid w:val="00EE0EAE"/>
    <w:rsid w:val="00EE22F9"/>
    <w:rsid w:val="00EE36BA"/>
    <w:rsid w:val="00EE44F4"/>
    <w:rsid w:val="00EE4CD0"/>
    <w:rsid w:val="00EE70F0"/>
    <w:rsid w:val="00F1384E"/>
    <w:rsid w:val="00F27063"/>
    <w:rsid w:val="00F30179"/>
    <w:rsid w:val="00F31E8D"/>
    <w:rsid w:val="00F3752C"/>
    <w:rsid w:val="00F426BC"/>
    <w:rsid w:val="00F42957"/>
    <w:rsid w:val="00F43E6D"/>
    <w:rsid w:val="00F45F35"/>
    <w:rsid w:val="00F61859"/>
    <w:rsid w:val="00F72FFC"/>
    <w:rsid w:val="00F819CB"/>
    <w:rsid w:val="00F82475"/>
    <w:rsid w:val="00F86494"/>
    <w:rsid w:val="00F87420"/>
    <w:rsid w:val="00F906DD"/>
    <w:rsid w:val="00F958A5"/>
    <w:rsid w:val="00FA00EC"/>
    <w:rsid w:val="00FA5FC3"/>
    <w:rsid w:val="00FA61C9"/>
    <w:rsid w:val="00FA6CCD"/>
    <w:rsid w:val="00FA760B"/>
    <w:rsid w:val="00FB0E44"/>
    <w:rsid w:val="00FB2201"/>
    <w:rsid w:val="00FD7856"/>
    <w:rsid w:val="00FF1A6B"/>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aliases w:val="普通 (Web)"/>
    <w:basedOn w:val="a"/>
    <w:unhideWhenUsed/>
    <w:qFormat/>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ysamat.Bakytov@kumtor.kg" TargetMode="External"/><Relationship Id="rId5" Type="http://schemas.openxmlformats.org/officeDocument/2006/relationships/webSettings" Target="webSettings.xml"/><Relationship Id="rId10" Type="http://schemas.openxmlformats.org/officeDocument/2006/relationships/hyperlink" Target="https://ndep.nv.gov/land/mining/reclamation/reclamation-cost-estimator" TargetMode="Externa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9A87-2358-4932-8493-64391D3D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Pages>
  <Words>11074</Words>
  <Characters>63122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58</cp:revision>
  <cp:lastPrinted>2025-10-09T07:50:00Z</cp:lastPrinted>
  <dcterms:created xsi:type="dcterms:W3CDTF">2026-03-16T07:28:00Z</dcterms:created>
  <dcterms:modified xsi:type="dcterms:W3CDTF">2026-05-20T07:39:00Z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