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B4250" w14:textId="77777777" w:rsidR="00CD14B5" w:rsidRPr="00CD14B5" w:rsidRDefault="00CD14B5" w:rsidP="00CD14B5">
      <w:pPr>
        <w:spacing w:line="256" w:lineRule="auto"/>
        <w:jc w:val="center"/>
        <w:rPr>
          <w:rFonts w:ascii="Times New Roman" w:eastAsia="Calibri" w:hAnsi="Times New Roman" w:cs="Times New Roman"/>
          <w:b/>
          <w:bCs/>
          <w:kern w:val="0"/>
          <w:lang w:val="ru-RU"/>
          <w14:ligatures w14:val="none"/>
        </w:rPr>
      </w:pPr>
      <w:r w:rsidRPr="00CD14B5">
        <w:rPr>
          <w:rFonts w:ascii="Times New Roman" w:eastAsia="Calibri" w:hAnsi="Times New Roman" w:cs="Times New Roman"/>
          <w:b/>
          <w:bCs/>
          <w:kern w:val="0"/>
          <w:lang w:val="ru-RU"/>
          <w14:ligatures w14:val="none"/>
        </w:rPr>
        <w:t>ТЕХНИЧЕСКОЕ ЗАДАНИЕ</w:t>
      </w:r>
    </w:p>
    <w:p w14:paraId="1C38483E" w14:textId="32DE791E" w:rsidR="00CD14B5" w:rsidRDefault="00CD14B5" w:rsidP="00B347D3">
      <w:pPr>
        <w:spacing w:after="0" w:line="256" w:lineRule="auto"/>
        <w:rPr>
          <w:rFonts w:ascii="Times New Roman" w:eastAsia="Calibri" w:hAnsi="Times New Roman" w:cs="Times New Roman"/>
          <w:b/>
          <w:bCs/>
          <w:kern w:val="0"/>
          <w:lang w:val="ru-RU"/>
          <w14:ligatures w14:val="none"/>
        </w:rPr>
      </w:pPr>
      <w:r w:rsidRPr="00CD14B5">
        <w:rPr>
          <w:rFonts w:ascii="Times New Roman" w:eastAsia="Calibri" w:hAnsi="Times New Roman" w:cs="Times New Roman"/>
          <w:b/>
          <w:bCs/>
          <w:kern w:val="0"/>
          <w:lang w:val="ru-RU"/>
          <w14:ligatures w14:val="none"/>
        </w:rPr>
        <w:t>на приобретение автомашины марки Тойота «Прадо» для ЗАО «Кумтор Голд Компани»</w:t>
      </w:r>
    </w:p>
    <w:p w14:paraId="79B646C5" w14:textId="77777777" w:rsidR="00B347D3" w:rsidRPr="00B347D3" w:rsidRDefault="00B347D3" w:rsidP="00B347D3">
      <w:pPr>
        <w:spacing w:after="0" w:line="256" w:lineRule="auto"/>
        <w:rPr>
          <w:rFonts w:ascii="Times New Roman" w:eastAsia="Calibri" w:hAnsi="Times New Roman" w:cs="Times New Roman"/>
          <w:b/>
          <w:bCs/>
          <w:kern w:val="0"/>
          <w:lang w:val="ru-RU"/>
          <w14:ligatures w14:val="none"/>
        </w:rPr>
      </w:pPr>
    </w:p>
    <w:tbl>
      <w:tblPr>
        <w:tblStyle w:val="ac"/>
        <w:tblW w:w="10710" w:type="dxa"/>
        <w:tblInd w:w="-635" w:type="dxa"/>
        <w:tblLook w:val="04A0" w:firstRow="1" w:lastRow="0" w:firstColumn="1" w:lastColumn="0" w:noHBand="0" w:noVBand="1"/>
      </w:tblPr>
      <w:tblGrid>
        <w:gridCol w:w="810"/>
        <w:gridCol w:w="3150"/>
        <w:gridCol w:w="6750"/>
      </w:tblGrid>
      <w:tr w:rsidR="00CD14B5" w:rsidRPr="00470DC7" w14:paraId="57BE8F29" w14:textId="77777777" w:rsidTr="00F17CD9">
        <w:trPr>
          <w:trHeight w:val="656"/>
        </w:trPr>
        <w:tc>
          <w:tcPr>
            <w:tcW w:w="810" w:type="dxa"/>
            <w:tcBorders>
              <w:top w:val="single" w:sz="4" w:space="0" w:color="auto"/>
              <w:left w:val="single" w:sz="4" w:space="0" w:color="auto"/>
              <w:bottom w:val="single" w:sz="4" w:space="0" w:color="auto"/>
              <w:right w:val="single" w:sz="4" w:space="0" w:color="auto"/>
            </w:tcBorders>
            <w:hideMark/>
          </w:tcPr>
          <w:p w14:paraId="36382674" w14:textId="77777777" w:rsidR="00CD14B5" w:rsidRPr="00CD14B5" w:rsidRDefault="00CD14B5" w:rsidP="00CD14B5">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w:t>
            </w:r>
          </w:p>
          <w:p w14:paraId="2327F5E7" w14:textId="77777777" w:rsidR="00CD14B5" w:rsidRPr="00CD14B5" w:rsidRDefault="00CD14B5" w:rsidP="00CD14B5">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п/п</w:t>
            </w:r>
          </w:p>
        </w:tc>
        <w:tc>
          <w:tcPr>
            <w:tcW w:w="3150" w:type="dxa"/>
            <w:tcBorders>
              <w:top w:val="single" w:sz="4" w:space="0" w:color="auto"/>
              <w:left w:val="single" w:sz="4" w:space="0" w:color="auto"/>
              <w:bottom w:val="single" w:sz="4" w:space="0" w:color="auto"/>
              <w:right w:val="single" w:sz="4" w:space="0" w:color="auto"/>
            </w:tcBorders>
            <w:hideMark/>
          </w:tcPr>
          <w:p w14:paraId="4F115684" w14:textId="77777777" w:rsidR="00CD14B5" w:rsidRPr="00CD14B5" w:rsidRDefault="00CD14B5" w:rsidP="00CD14B5">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Раздел</w:t>
            </w:r>
          </w:p>
        </w:tc>
        <w:tc>
          <w:tcPr>
            <w:tcW w:w="6750" w:type="dxa"/>
            <w:tcBorders>
              <w:top w:val="single" w:sz="4" w:space="0" w:color="auto"/>
              <w:left w:val="single" w:sz="4" w:space="0" w:color="auto"/>
              <w:bottom w:val="single" w:sz="4" w:space="0" w:color="auto"/>
              <w:right w:val="single" w:sz="4" w:space="0" w:color="auto"/>
            </w:tcBorders>
            <w:hideMark/>
          </w:tcPr>
          <w:p w14:paraId="6730D740" w14:textId="77777777" w:rsidR="00CD14B5" w:rsidRPr="00CD14B5" w:rsidRDefault="00CD14B5" w:rsidP="00CD14B5">
            <w:pPr>
              <w:jc w:val="center"/>
              <w:rPr>
                <w:rFonts w:ascii="Times New Roman" w:eastAsia="Calibri" w:hAnsi="Times New Roman" w:cs="Times New Roman"/>
                <w:b/>
                <w:bCs/>
                <w:lang w:val="ru-RU"/>
              </w:rPr>
            </w:pPr>
            <w:r w:rsidRPr="00CD14B5">
              <w:rPr>
                <w:rFonts w:ascii="Times New Roman" w:eastAsia="Calibri" w:hAnsi="Times New Roman" w:cs="Times New Roman"/>
                <w:b/>
                <w:bCs/>
                <w:lang w:val="ru-RU"/>
              </w:rPr>
              <w:t>Описание характеристик и технические требования</w:t>
            </w:r>
          </w:p>
        </w:tc>
      </w:tr>
      <w:tr w:rsidR="00CD14B5" w:rsidRPr="00CD14B5" w14:paraId="33646C9B" w14:textId="77777777" w:rsidTr="00F17CD9">
        <w:trPr>
          <w:trHeight w:val="341"/>
        </w:trPr>
        <w:tc>
          <w:tcPr>
            <w:tcW w:w="810" w:type="dxa"/>
            <w:tcBorders>
              <w:top w:val="single" w:sz="4" w:space="0" w:color="auto"/>
              <w:left w:val="single" w:sz="4" w:space="0" w:color="auto"/>
              <w:bottom w:val="single" w:sz="4" w:space="0" w:color="auto"/>
              <w:right w:val="single" w:sz="4" w:space="0" w:color="auto"/>
            </w:tcBorders>
          </w:tcPr>
          <w:p w14:paraId="4486FABA"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1.</w:t>
            </w:r>
          </w:p>
        </w:tc>
        <w:tc>
          <w:tcPr>
            <w:tcW w:w="3150" w:type="dxa"/>
            <w:tcBorders>
              <w:top w:val="single" w:sz="4" w:space="0" w:color="auto"/>
              <w:left w:val="single" w:sz="4" w:space="0" w:color="auto"/>
              <w:bottom w:val="single" w:sz="4" w:space="0" w:color="auto"/>
              <w:right w:val="single" w:sz="4" w:space="0" w:color="auto"/>
            </w:tcBorders>
          </w:tcPr>
          <w:p w14:paraId="094D7B7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Место расположения </w:t>
            </w:r>
          </w:p>
        </w:tc>
        <w:tc>
          <w:tcPr>
            <w:tcW w:w="6750" w:type="dxa"/>
            <w:tcBorders>
              <w:top w:val="single" w:sz="4" w:space="0" w:color="auto"/>
              <w:left w:val="single" w:sz="4" w:space="0" w:color="auto"/>
              <w:bottom w:val="single" w:sz="4" w:space="0" w:color="auto"/>
              <w:right w:val="single" w:sz="4" w:space="0" w:color="auto"/>
            </w:tcBorders>
          </w:tcPr>
          <w:p w14:paraId="7C85C85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Кыргызская Республика г. Бишкек, ул. Ибраимова, 24. </w:t>
            </w:r>
          </w:p>
        </w:tc>
      </w:tr>
      <w:tr w:rsidR="00CD14B5" w:rsidRPr="00CD14B5" w14:paraId="46F4149A" w14:textId="77777777" w:rsidTr="00F17CD9">
        <w:trPr>
          <w:trHeight w:val="341"/>
        </w:trPr>
        <w:tc>
          <w:tcPr>
            <w:tcW w:w="810" w:type="dxa"/>
            <w:tcBorders>
              <w:top w:val="single" w:sz="4" w:space="0" w:color="auto"/>
              <w:left w:val="single" w:sz="4" w:space="0" w:color="auto"/>
              <w:bottom w:val="single" w:sz="4" w:space="0" w:color="auto"/>
              <w:right w:val="single" w:sz="4" w:space="0" w:color="auto"/>
            </w:tcBorders>
          </w:tcPr>
          <w:p w14:paraId="2EA74177"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2.</w:t>
            </w:r>
          </w:p>
        </w:tc>
        <w:tc>
          <w:tcPr>
            <w:tcW w:w="3150" w:type="dxa"/>
            <w:tcBorders>
              <w:top w:val="single" w:sz="4" w:space="0" w:color="auto"/>
              <w:left w:val="single" w:sz="4" w:space="0" w:color="auto"/>
              <w:bottom w:val="single" w:sz="4" w:space="0" w:color="auto"/>
              <w:right w:val="single" w:sz="4" w:space="0" w:color="auto"/>
            </w:tcBorders>
          </w:tcPr>
          <w:p w14:paraId="61872CD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Заказчик </w:t>
            </w:r>
          </w:p>
        </w:tc>
        <w:tc>
          <w:tcPr>
            <w:tcW w:w="6750" w:type="dxa"/>
            <w:tcBorders>
              <w:top w:val="single" w:sz="4" w:space="0" w:color="auto"/>
              <w:left w:val="single" w:sz="4" w:space="0" w:color="auto"/>
              <w:bottom w:val="single" w:sz="4" w:space="0" w:color="auto"/>
              <w:right w:val="single" w:sz="4" w:space="0" w:color="auto"/>
            </w:tcBorders>
          </w:tcPr>
          <w:p w14:paraId="19CF762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ЗАО «Кумтор Голд Компани».</w:t>
            </w:r>
          </w:p>
        </w:tc>
      </w:tr>
      <w:tr w:rsidR="00CD14B5" w:rsidRPr="00470DC7" w14:paraId="00651599" w14:textId="77777777" w:rsidTr="00F17CD9">
        <w:trPr>
          <w:trHeight w:val="656"/>
        </w:trPr>
        <w:tc>
          <w:tcPr>
            <w:tcW w:w="810" w:type="dxa"/>
            <w:tcBorders>
              <w:top w:val="single" w:sz="4" w:space="0" w:color="auto"/>
              <w:left w:val="single" w:sz="4" w:space="0" w:color="auto"/>
              <w:bottom w:val="single" w:sz="4" w:space="0" w:color="auto"/>
              <w:right w:val="single" w:sz="4" w:space="0" w:color="auto"/>
            </w:tcBorders>
          </w:tcPr>
          <w:p w14:paraId="1CC72367"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 xml:space="preserve">3. </w:t>
            </w:r>
          </w:p>
        </w:tc>
        <w:tc>
          <w:tcPr>
            <w:tcW w:w="3150" w:type="dxa"/>
            <w:tcBorders>
              <w:top w:val="single" w:sz="4" w:space="0" w:color="auto"/>
              <w:left w:val="single" w:sz="4" w:space="0" w:color="auto"/>
              <w:bottom w:val="single" w:sz="4" w:space="0" w:color="auto"/>
              <w:right w:val="single" w:sz="4" w:space="0" w:color="auto"/>
            </w:tcBorders>
          </w:tcPr>
          <w:p w14:paraId="1EA5D68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Цель закупки</w:t>
            </w:r>
          </w:p>
        </w:tc>
        <w:tc>
          <w:tcPr>
            <w:tcW w:w="6750" w:type="dxa"/>
            <w:tcBorders>
              <w:top w:val="single" w:sz="4" w:space="0" w:color="auto"/>
              <w:left w:val="single" w:sz="4" w:space="0" w:color="auto"/>
              <w:bottom w:val="single" w:sz="4" w:space="0" w:color="auto"/>
              <w:right w:val="single" w:sz="4" w:space="0" w:color="auto"/>
            </w:tcBorders>
          </w:tcPr>
          <w:p w14:paraId="5B239DA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Предметом Технического Задания (ТЗ) является приобретение 2 (двух) единиц автомашины </w:t>
            </w:r>
          </w:p>
        </w:tc>
      </w:tr>
      <w:tr w:rsidR="00CD14B5" w:rsidRPr="00470DC7" w14:paraId="7A8A7FD3"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40FA4BF3"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4.</w:t>
            </w:r>
          </w:p>
        </w:tc>
        <w:tc>
          <w:tcPr>
            <w:tcW w:w="3150" w:type="dxa"/>
            <w:tcBorders>
              <w:top w:val="single" w:sz="4" w:space="0" w:color="auto"/>
              <w:left w:val="single" w:sz="4" w:space="0" w:color="auto"/>
              <w:bottom w:val="single" w:sz="4" w:space="0" w:color="auto"/>
              <w:right w:val="single" w:sz="4" w:space="0" w:color="auto"/>
            </w:tcBorders>
            <w:hideMark/>
          </w:tcPr>
          <w:p w14:paraId="5D407A0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Требования к дате выпуска</w:t>
            </w:r>
          </w:p>
        </w:tc>
        <w:tc>
          <w:tcPr>
            <w:tcW w:w="6750" w:type="dxa"/>
            <w:tcBorders>
              <w:top w:val="single" w:sz="4" w:space="0" w:color="auto"/>
              <w:left w:val="single" w:sz="4" w:space="0" w:color="auto"/>
              <w:bottom w:val="single" w:sz="4" w:space="0" w:color="auto"/>
              <w:right w:val="single" w:sz="4" w:space="0" w:color="auto"/>
            </w:tcBorders>
            <w:hideMark/>
          </w:tcPr>
          <w:p w14:paraId="0D97259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Автомобиль должен быть абсолютно новым, не ранее 2025 года выпуска </w:t>
            </w:r>
          </w:p>
        </w:tc>
      </w:tr>
      <w:tr w:rsidR="00CD14B5" w:rsidRPr="00470DC7" w14:paraId="194BF83F" w14:textId="77777777" w:rsidTr="00F17CD9">
        <w:tc>
          <w:tcPr>
            <w:tcW w:w="810" w:type="dxa"/>
            <w:tcBorders>
              <w:top w:val="single" w:sz="4" w:space="0" w:color="auto"/>
              <w:left w:val="single" w:sz="4" w:space="0" w:color="auto"/>
              <w:bottom w:val="single" w:sz="4" w:space="0" w:color="auto"/>
              <w:right w:val="single" w:sz="4" w:space="0" w:color="auto"/>
            </w:tcBorders>
          </w:tcPr>
          <w:p w14:paraId="2E56BDA9"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 xml:space="preserve">5. </w:t>
            </w:r>
          </w:p>
        </w:tc>
        <w:tc>
          <w:tcPr>
            <w:tcW w:w="3150" w:type="dxa"/>
            <w:tcBorders>
              <w:top w:val="single" w:sz="4" w:space="0" w:color="auto"/>
              <w:left w:val="single" w:sz="4" w:space="0" w:color="auto"/>
              <w:bottom w:val="single" w:sz="4" w:space="0" w:color="auto"/>
              <w:right w:val="single" w:sz="4" w:space="0" w:color="auto"/>
            </w:tcBorders>
          </w:tcPr>
          <w:p w14:paraId="50B6C78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Общие требования / Нормы и стандарты</w:t>
            </w:r>
          </w:p>
        </w:tc>
        <w:tc>
          <w:tcPr>
            <w:tcW w:w="6750" w:type="dxa"/>
            <w:tcBorders>
              <w:top w:val="single" w:sz="4" w:space="0" w:color="auto"/>
              <w:left w:val="single" w:sz="4" w:space="0" w:color="auto"/>
              <w:bottom w:val="single" w:sz="4" w:space="0" w:color="auto"/>
              <w:right w:val="single" w:sz="4" w:space="0" w:color="auto"/>
            </w:tcBorders>
          </w:tcPr>
          <w:p w14:paraId="0F1226D2"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5.1. Поставляемый автомобиль (далее Автомобиль) должен быть новым, не бывшим в употреблении. </w:t>
            </w:r>
          </w:p>
          <w:p w14:paraId="4667FB6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Тип кузова: Внедорожник (джип) легковой автомобиль, </w:t>
            </w:r>
          </w:p>
          <w:p w14:paraId="1E24E30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Область применения на шоссейных, грунтовых и горных дорогах, в том числе горных дорогах, расположенных на высоте свыше 4000 м. над уровнем моря. </w:t>
            </w:r>
          </w:p>
          <w:p w14:paraId="0826755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5.2. Все необходимые руководства пользователя и техническая документация должна быть в комплекте и не допускается в виде копий. </w:t>
            </w:r>
          </w:p>
          <w:p w14:paraId="467120E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5.3. Товар должен соответствовать действующим требованиям безопасности, установленным законодательством. </w:t>
            </w:r>
          </w:p>
          <w:p w14:paraId="7D0795D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5.4. При осуществлении поставки Автомобиля Поставщик должен предоставить: оригиналы или в установленном порядке заверенные копии действующих сертификатов:</w:t>
            </w:r>
          </w:p>
          <w:p w14:paraId="270BDF6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происхождения завода-изготовителя; </w:t>
            </w:r>
          </w:p>
          <w:p w14:paraId="0D862FC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соответствия транспортного средства на соответствие требованиям технического регламента; </w:t>
            </w:r>
          </w:p>
          <w:p w14:paraId="6FE402C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5.6. Поставляемый Товар не должен находиться в залоге, под арестом или иным обременением. </w:t>
            </w:r>
          </w:p>
        </w:tc>
      </w:tr>
      <w:tr w:rsidR="00CD14B5" w:rsidRPr="00470DC7" w14:paraId="01D2D693"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127F3BEA"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6.</w:t>
            </w:r>
          </w:p>
        </w:tc>
        <w:tc>
          <w:tcPr>
            <w:tcW w:w="3150" w:type="dxa"/>
            <w:tcBorders>
              <w:top w:val="single" w:sz="4" w:space="0" w:color="auto"/>
              <w:left w:val="single" w:sz="4" w:space="0" w:color="auto"/>
              <w:bottom w:val="single" w:sz="4" w:space="0" w:color="auto"/>
              <w:right w:val="single" w:sz="4" w:space="0" w:color="auto"/>
            </w:tcBorders>
            <w:hideMark/>
          </w:tcPr>
          <w:p w14:paraId="362A4E3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Технические характеристики</w:t>
            </w:r>
          </w:p>
        </w:tc>
        <w:tc>
          <w:tcPr>
            <w:tcW w:w="6750" w:type="dxa"/>
            <w:tcBorders>
              <w:top w:val="single" w:sz="4" w:space="0" w:color="auto"/>
              <w:left w:val="single" w:sz="4" w:space="0" w:color="auto"/>
              <w:bottom w:val="single" w:sz="4" w:space="0" w:color="auto"/>
              <w:right w:val="single" w:sz="4" w:space="0" w:color="auto"/>
            </w:tcBorders>
          </w:tcPr>
          <w:p w14:paraId="10081F8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6.1. Комплектация: Комфорт+, Люкс. </w:t>
            </w:r>
          </w:p>
          <w:p w14:paraId="22AF303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6.2. Пробег: не более 20 км. </w:t>
            </w:r>
          </w:p>
          <w:p w14:paraId="35D8F56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6.3. Объем топливного бака: не менее 50 литров.</w:t>
            </w:r>
          </w:p>
          <w:p w14:paraId="5F4B91A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6.4. Число мест: 5. </w:t>
            </w:r>
          </w:p>
          <w:p w14:paraId="711FFC6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6.5. Количество дверей: 5. </w:t>
            </w:r>
          </w:p>
          <w:p w14:paraId="7322C67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6.6. Двигатель: Бензиновый с турбонаддувом</w:t>
            </w:r>
          </w:p>
          <w:p w14:paraId="1825D04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6.6.1. Топливо: бензин АИ-95 (Экологический стандарт: Euro5; </w:t>
            </w:r>
          </w:p>
          <w:p w14:paraId="7DB3FB0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6.6.2. Объем: не более 2400 см³., турбонаддув. </w:t>
            </w:r>
          </w:p>
          <w:p w14:paraId="7CB2F19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6.6.3. Мощность: не менее 280 л.с. </w:t>
            </w:r>
          </w:p>
          <w:p w14:paraId="77EB465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6.6.4. Наличие турбины: да. </w:t>
            </w:r>
          </w:p>
          <w:p w14:paraId="17F61D4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6.7. КПП: автомат  </w:t>
            </w:r>
          </w:p>
          <w:p w14:paraId="57CEAE2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6.8. Привод: полный (4х4). </w:t>
            </w:r>
          </w:p>
          <w:p w14:paraId="2EFCA55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6.9. Дополнительная информация: </w:t>
            </w:r>
          </w:p>
          <w:p w14:paraId="2D603F9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6.9.1. Цвет: Белый либо черный </w:t>
            </w:r>
          </w:p>
          <w:p w14:paraId="6074722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6.9.2. Активные и пассивные системы безопасности. </w:t>
            </w:r>
          </w:p>
          <w:p w14:paraId="6E4C040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6.9.3. Комплект инструментов и домкрат.</w:t>
            </w:r>
          </w:p>
          <w:p w14:paraId="754373C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6.9.4. Знак аварийной остановки.</w:t>
            </w:r>
          </w:p>
          <w:p w14:paraId="37BDA79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6.5.5. Адаптация к работе в условиях высокогорья и холодного климата. </w:t>
            </w:r>
          </w:p>
        </w:tc>
      </w:tr>
      <w:tr w:rsidR="00CD14B5" w:rsidRPr="00470DC7" w14:paraId="71105D6D"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107E77E8"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7.</w:t>
            </w:r>
          </w:p>
        </w:tc>
        <w:tc>
          <w:tcPr>
            <w:tcW w:w="3150" w:type="dxa"/>
            <w:tcBorders>
              <w:top w:val="single" w:sz="4" w:space="0" w:color="auto"/>
              <w:left w:val="single" w:sz="4" w:space="0" w:color="auto"/>
              <w:bottom w:val="single" w:sz="4" w:space="0" w:color="auto"/>
              <w:right w:val="single" w:sz="4" w:space="0" w:color="auto"/>
            </w:tcBorders>
          </w:tcPr>
          <w:p w14:paraId="5ECAC31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Комплектация автомобиля, оборудование и аксессуары.</w:t>
            </w:r>
          </w:p>
          <w:p w14:paraId="23AB48F6" w14:textId="77777777" w:rsidR="00CD14B5" w:rsidRPr="00CD14B5" w:rsidRDefault="00CD14B5" w:rsidP="00CD14B5">
            <w:pPr>
              <w:jc w:val="both"/>
              <w:rPr>
                <w:rFonts w:ascii="Times New Roman" w:eastAsia="Calibri" w:hAnsi="Times New Roman" w:cs="Times New Roman"/>
                <w:lang w:val="ru-RU"/>
              </w:rPr>
            </w:pPr>
          </w:p>
          <w:p w14:paraId="7D1AC5A7" w14:textId="77777777" w:rsidR="00CD14B5" w:rsidRPr="00CD14B5" w:rsidRDefault="00CD14B5" w:rsidP="00CD14B5">
            <w:pPr>
              <w:jc w:val="both"/>
              <w:rPr>
                <w:rFonts w:ascii="Times New Roman" w:eastAsia="Calibri" w:hAnsi="Times New Roman" w:cs="Times New Roman"/>
                <w:lang w:val="ru-RU"/>
              </w:rPr>
            </w:pPr>
          </w:p>
          <w:p w14:paraId="071D9208" w14:textId="77777777" w:rsidR="00CD14B5" w:rsidRPr="00CD14B5" w:rsidRDefault="00CD14B5" w:rsidP="00CD14B5">
            <w:pPr>
              <w:jc w:val="both"/>
              <w:rPr>
                <w:rFonts w:ascii="Times New Roman" w:eastAsia="Calibri" w:hAnsi="Times New Roman" w:cs="Times New Roman"/>
                <w:lang w:val="ru-RU"/>
              </w:rPr>
            </w:pPr>
          </w:p>
          <w:p w14:paraId="1477E1D9" w14:textId="77777777" w:rsidR="00CD14B5" w:rsidRPr="00CD14B5" w:rsidRDefault="00CD14B5" w:rsidP="00CD14B5">
            <w:pPr>
              <w:jc w:val="both"/>
              <w:rPr>
                <w:rFonts w:ascii="Times New Roman" w:eastAsia="Calibri" w:hAnsi="Times New Roman" w:cs="Times New Roman"/>
                <w:lang w:val="ru-RU"/>
              </w:rPr>
            </w:pPr>
          </w:p>
          <w:p w14:paraId="56200A5D" w14:textId="77777777" w:rsidR="00CD14B5" w:rsidRPr="00CD14B5" w:rsidRDefault="00CD14B5" w:rsidP="00CD14B5">
            <w:pPr>
              <w:jc w:val="both"/>
              <w:rPr>
                <w:rFonts w:ascii="Times New Roman" w:eastAsia="Calibri" w:hAnsi="Times New Roman" w:cs="Times New Roman"/>
                <w:lang w:val="ru-RU"/>
              </w:rPr>
            </w:pPr>
          </w:p>
          <w:p w14:paraId="263A6508" w14:textId="77777777" w:rsidR="00CD14B5" w:rsidRPr="00CD14B5" w:rsidRDefault="00CD14B5" w:rsidP="00CD14B5">
            <w:pPr>
              <w:jc w:val="both"/>
              <w:rPr>
                <w:rFonts w:ascii="Times New Roman" w:eastAsia="Calibri" w:hAnsi="Times New Roman" w:cs="Times New Roman"/>
                <w:lang w:val="ru-RU"/>
              </w:rPr>
            </w:pPr>
          </w:p>
          <w:p w14:paraId="2942B62E" w14:textId="77777777" w:rsidR="00CD14B5" w:rsidRPr="00CD14B5" w:rsidRDefault="00CD14B5" w:rsidP="00CD14B5">
            <w:pPr>
              <w:jc w:val="both"/>
              <w:rPr>
                <w:rFonts w:ascii="Times New Roman" w:eastAsia="Calibri" w:hAnsi="Times New Roman" w:cs="Times New Roman"/>
                <w:lang w:val="ru-RU"/>
              </w:rPr>
            </w:pPr>
          </w:p>
        </w:tc>
        <w:tc>
          <w:tcPr>
            <w:tcW w:w="6750" w:type="dxa"/>
            <w:tcBorders>
              <w:top w:val="single" w:sz="4" w:space="0" w:color="auto"/>
              <w:left w:val="single" w:sz="4" w:space="0" w:color="auto"/>
              <w:bottom w:val="single" w:sz="4" w:space="0" w:color="auto"/>
              <w:right w:val="single" w:sz="4" w:space="0" w:color="auto"/>
            </w:tcBorders>
          </w:tcPr>
          <w:p w14:paraId="7F53C71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lastRenderedPageBreak/>
              <w:t xml:space="preserve">Состав комплектации: </w:t>
            </w:r>
          </w:p>
          <w:p w14:paraId="4C0AC3E2"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Светодиодная оптика ближнего, дальнего света задние фонари с автоматической коррекция угла наклона; </w:t>
            </w:r>
          </w:p>
          <w:p w14:paraId="540983D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Передние и задние брызговики; </w:t>
            </w:r>
          </w:p>
          <w:p w14:paraId="0C14185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lastRenderedPageBreak/>
              <w:t xml:space="preserve">- Полноразмерное запасное колесо; </w:t>
            </w:r>
          </w:p>
          <w:p w14:paraId="79F77D4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Омыватель фар; </w:t>
            </w:r>
          </w:p>
          <w:p w14:paraId="268DF04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Боковые зеркала заднего вида с электрорегулировкой, </w:t>
            </w:r>
            <w:proofErr w:type="spellStart"/>
            <w:r w:rsidRPr="00CD14B5">
              <w:rPr>
                <w:rFonts w:ascii="Times New Roman" w:eastAsia="Calibri" w:hAnsi="Times New Roman" w:cs="Times New Roman"/>
                <w:lang w:val="ru-RU"/>
              </w:rPr>
              <w:t>электроскладыванием</w:t>
            </w:r>
            <w:proofErr w:type="spellEnd"/>
            <w:r w:rsidRPr="00CD14B5">
              <w:rPr>
                <w:rFonts w:ascii="Times New Roman" w:eastAsia="Calibri" w:hAnsi="Times New Roman" w:cs="Times New Roman"/>
                <w:lang w:val="ru-RU"/>
              </w:rPr>
              <w:t xml:space="preserve">, подогревом и памятью; </w:t>
            </w:r>
          </w:p>
          <w:p w14:paraId="2E4875D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Электрообогрев всей поверхности лобового стекла; </w:t>
            </w:r>
          </w:p>
          <w:p w14:paraId="2CDD97F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Электрообогрев форсунок стеклоочистителей; </w:t>
            </w:r>
          </w:p>
          <w:p w14:paraId="4C1BB6E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Крыша с люком; </w:t>
            </w:r>
          </w:p>
          <w:p w14:paraId="5E454D8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Электропривод багажной двери. </w:t>
            </w:r>
          </w:p>
          <w:p w14:paraId="23BD27E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 Коммуникационная система </w:t>
            </w:r>
            <w:r w:rsidRPr="00CD14B5">
              <w:rPr>
                <w:rFonts w:ascii="Times New Roman" w:eastAsia="Calibri" w:hAnsi="Times New Roman" w:cs="Times New Roman"/>
              </w:rPr>
              <w:t>Bluetooth</w:t>
            </w:r>
            <w:r w:rsidRPr="00CD14B5">
              <w:rPr>
                <w:rFonts w:ascii="Times New Roman" w:eastAsia="Calibri" w:hAnsi="Times New Roman" w:cs="Times New Roman"/>
                <w:lang w:val="ru-RU"/>
              </w:rPr>
              <w:t xml:space="preserve">; </w:t>
            </w:r>
          </w:p>
          <w:p w14:paraId="2AB101F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Мультимедийный дисплей поддержкой беспроводного </w:t>
            </w:r>
            <w:r w:rsidRPr="00CD14B5">
              <w:rPr>
                <w:rFonts w:ascii="Times New Roman" w:eastAsia="Calibri" w:hAnsi="Times New Roman" w:cs="Times New Roman"/>
              </w:rPr>
              <w:t>Apple</w:t>
            </w: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Car</w:t>
            </w: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Play</w:t>
            </w:r>
            <w:r w:rsidRPr="00CD14B5">
              <w:rPr>
                <w:rFonts w:ascii="Times New Roman" w:eastAsia="Calibri" w:hAnsi="Times New Roman" w:cs="Times New Roman"/>
                <w:lang w:val="ru-RU"/>
              </w:rPr>
              <w:t>;</w:t>
            </w:r>
          </w:p>
          <w:p w14:paraId="63A639C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Камера панорамного вида;</w:t>
            </w:r>
          </w:p>
          <w:p w14:paraId="7B034C3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Проекционный дисплей (</w:t>
            </w:r>
            <w:r w:rsidRPr="00CD14B5">
              <w:rPr>
                <w:rFonts w:ascii="Times New Roman" w:eastAsia="Calibri" w:hAnsi="Times New Roman" w:cs="Times New Roman"/>
              </w:rPr>
              <w:t>HUD</w:t>
            </w:r>
            <w:r w:rsidRPr="00CD14B5">
              <w:rPr>
                <w:rFonts w:ascii="Times New Roman" w:eastAsia="Calibri" w:hAnsi="Times New Roman" w:cs="Times New Roman"/>
                <w:lang w:val="ru-RU"/>
              </w:rPr>
              <w:t xml:space="preserve">); </w:t>
            </w:r>
          </w:p>
          <w:p w14:paraId="48902B1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Беспроводное зарядное устройство; </w:t>
            </w:r>
          </w:p>
          <w:p w14:paraId="5DD2832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USB</w:t>
            </w:r>
            <w:r w:rsidRPr="00CD14B5">
              <w:rPr>
                <w:rFonts w:ascii="Times New Roman" w:eastAsia="Calibri" w:hAnsi="Times New Roman" w:cs="Times New Roman"/>
                <w:lang w:val="ru-RU"/>
              </w:rPr>
              <w:t xml:space="preserve"> – разъемы;</w:t>
            </w:r>
          </w:p>
          <w:p w14:paraId="6FFE288F" w14:textId="77777777" w:rsidR="00CD14B5" w:rsidRPr="00CD14B5" w:rsidRDefault="00CD14B5" w:rsidP="00CD14B5">
            <w:pPr>
              <w:jc w:val="both"/>
              <w:rPr>
                <w:rFonts w:ascii="Times New Roman" w:eastAsia="Calibri" w:hAnsi="Times New Roman" w:cs="Times New Roman"/>
                <w:b/>
                <w:bCs/>
                <w:lang w:val="ru-RU"/>
              </w:rPr>
            </w:pP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HDMI</w:t>
            </w:r>
            <w:r w:rsidRPr="00CD14B5">
              <w:rPr>
                <w:rFonts w:ascii="Times New Roman" w:eastAsia="Calibri" w:hAnsi="Times New Roman" w:cs="Times New Roman"/>
                <w:lang w:val="ru-RU"/>
              </w:rPr>
              <w:t xml:space="preserve"> – разъем</w:t>
            </w:r>
            <w:r w:rsidRPr="00CD14B5">
              <w:rPr>
                <w:rFonts w:ascii="Times New Roman" w:eastAsia="Calibri" w:hAnsi="Times New Roman" w:cs="Times New Roman"/>
                <w:b/>
                <w:bCs/>
                <w:lang w:val="ru-RU"/>
              </w:rPr>
              <w:t xml:space="preserve">. </w:t>
            </w:r>
          </w:p>
          <w:p w14:paraId="0466FB6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Подушки безопасности: фронтальные, передние боковые, боковые шторки, коленная для водителя; </w:t>
            </w:r>
          </w:p>
          <w:p w14:paraId="7DC73ED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помощи при выезде с парковки задним ходом с функцией визуального и звукового оповещения; </w:t>
            </w:r>
          </w:p>
          <w:p w14:paraId="5FC370B6"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Иммобилайзер и центральный замок с ДУ. </w:t>
            </w:r>
          </w:p>
          <w:p w14:paraId="67C7DA72"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Передние и задние датчики парковки с функцией распознавания объектов, автомобилей и пешеходов;</w:t>
            </w:r>
          </w:p>
          <w:p w14:paraId="79142991"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мониторинга слепых зон; </w:t>
            </w:r>
          </w:p>
          <w:p w14:paraId="158B9DEF"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автоматического переключения дальнего света на ближний с затемнением зоны «ослепления» встречного автомобиля; </w:t>
            </w:r>
          </w:p>
          <w:p w14:paraId="28368FD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предупреждения об угрозе фронтального столкновения с функцией автоматического торможения; </w:t>
            </w:r>
          </w:p>
          <w:p w14:paraId="5039503F"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Адаптивный круиз-контроль с функцией поддержания безопасной дистанции до впереди идущего автомобиля;</w:t>
            </w:r>
          </w:p>
          <w:p w14:paraId="41C8679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контроля и формирования об усталости водителя; </w:t>
            </w:r>
          </w:p>
          <w:p w14:paraId="403BCD00"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удержания в полосе движения с функцией автоматической остановки и сенсором прикосновения к рулю; </w:t>
            </w:r>
          </w:p>
          <w:p w14:paraId="5134401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оповещения о непреднамеренном пересечении дорожной разметки. </w:t>
            </w:r>
          </w:p>
          <w:p w14:paraId="5C8C341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Датчик света; </w:t>
            </w:r>
          </w:p>
          <w:p w14:paraId="09B7EA0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Разъем – 12 </w:t>
            </w:r>
            <w:r w:rsidRPr="00CD14B5">
              <w:rPr>
                <w:rFonts w:ascii="Times New Roman" w:eastAsia="Calibri" w:hAnsi="Times New Roman" w:cs="Times New Roman"/>
              </w:rPr>
              <w:t>V</w:t>
            </w:r>
            <w:r w:rsidRPr="00CD14B5">
              <w:rPr>
                <w:rFonts w:ascii="Times New Roman" w:eastAsia="Calibri" w:hAnsi="Times New Roman" w:cs="Times New Roman"/>
                <w:lang w:val="ru-RU"/>
              </w:rPr>
              <w:t>;</w:t>
            </w:r>
          </w:p>
          <w:p w14:paraId="6F997F1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Светодиодное освещение дверей; </w:t>
            </w:r>
          </w:p>
          <w:p w14:paraId="6EAE1EF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контроля давления в шинах; </w:t>
            </w:r>
          </w:p>
          <w:p w14:paraId="28E7338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Электронный стояночный тормоз; </w:t>
            </w:r>
          </w:p>
          <w:p w14:paraId="48B0089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Интеллектуальная система доступа в автомобиль </w:t>
            </w:r>
            <w:r w:rsidRPr="00CD14B5">
              <w:rPr>
                <w:rFonts w:ascii="Times New Roman" w:eastAsia="Calibri" w:hAnsi="Times New Roman" w:cs="Times New Roman"/>
              </w:rPr>
              <w:t>Smart</w:t>
            </w: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Entry</w:t>
            </w:r>
            <w:r w:rsidRPr="00CD14B5">
              <w:rPr>
                <w:rFonts w:ascii="Times New Roman" w:eastAsia="Calibri" w:hAnsi="Times New Roman" w:cs="Times New Roman"/>
                <w:lang w:val="ru-RU"/>
              </w:rPr>
              <w:t xml:space="preserve"> и запуск двигателя </w:t>
            </w:r>
            <w:r w:rsidRPr="00CD14B5">
              <w:rPr>
                <w:rFonts w:ascii="Times New Roman" w:eastAsia="Calibri" w:hAnsi="Times New Roman" w:cs="Times New Roman"/>
              </w:rPr>
              <w:t>Push</w:t>
            </w:r>
            <w:r w:rsidRPr="00CD14B5">
              <w:rPr>
                <w:rFonts w:ascii="Times New Roman" w:eastAsia="Calibri" w:hAnsi="Times New Roman" w:cs="Times New Roman"/>
                <w:lang w:val="ru-RU"/>
              </w:rPr>
              <w:t xml:space="preserve"> </w:t>
            </w:r>
            <w:r w:rsidRPr="00CD14B5">
              <w:rPr>
                <w:rFonts w:ascii="Times New Roman" w:eastAsia="Calibri" w:hAnsi="Times New Roman" w:cs="Times New Roman"/>
              </w:rPr>
              <w:t>Start</w:t>
            </w:r>
            <w:r w:rsidRPr="00CD14B5">
              <w:rPr>
                <w:rFonts w:ascii="Times New Roman" w:eastAsia="Calibri" w:hAnsi="Times New Roman" w:cs="Times New Roman"/>
                <w:lang w:val="ru-RU"/>
              </w:rPr>
              <w:t xml:space="preserve">; </w:t>
            </w:r>
          </w:p>
          <w:p w14:paraId="2445BD0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Цифровое салонное зеркало заднего вида;</w:t>
            </w:r>
          </w:p>
          <w:p w14:paraId="2271964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Кожаная обивка сидений; </w:t>
            </w:r>
          </w:p>
          <w:p w14:paraId="7A9EE85F"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Держатели стаканов; </w:t>
            </w:r>
          </w:p>
          <w:p w14:paraId="3D4588C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Кожаная отделка панели инструментов; </w:t>
            </w:r>
          </w:p>
          <w:p w14:paraId="2F9C6B3F"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Кожаная отделка рычага переключения передач; </w:t>
            </w:r>
          </w:p>
          <w:p w14:paraId="1ECB1187"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Подогрев передних сидений; </w:t>
            </w:r>
          </w:p>
          <w:p w14:paraId="6F6C200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Подогрев 2-го ряда сидений; </w:t>
            </w:r>
          </w:p>
          <w:p w14:paraId="2215073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Вентиляция передних сидений; </w:t>
            </w:r>
          </w:p>
          <w:p w14:paraId="1BC32AE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Вентиляция 2-го ряда сидений; </w:t>
            </w:r>
          </w:p>
          <w:p w14:paraId="2951391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-Электрорегулировка передних сидений (водительское, пассажирское); </w:t>
            </w:r>
          </w:p>
          <w:p w14:paraId="2C089734"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Память водительского сиденья; </w:t>
            </w:r>
          </w:p>
          <w:p w14:paraId="609D69E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Мультифункциональное кожаное рулевое колесо с подогревом; </w:t>
            </w:r>
          </w:p>
          <w:p w14:paraId="11F5803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Электрорегулировка рулевой колонки по наклону и вылету; </w:t>
            </w:r>
          </w:p>
          <w:p w14:paraId="1245878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lastRenderedPageBreak/>
              <w:t xml:space="preserve">- 2-х зонный климат-контроль; </w:t>
            </w:r>
          </w:p>
          <w:p w14:paraId="106CA740"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Дополнительный кондиционер для 2-го ряда сидений; </w:t>
            </w:r>
          </w:p>
          <w:p w14:paraId="335902F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Датчик дождя; </w:t>
            </w:r>
          </w:p>
          <w:p w14:paraId="78D47B59"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Охлаждаемый ящик; </w:t>
            </w:r>
          </w:p>
          <w:p w14:paraId="0A8D0490"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w:t>
            </w:r>
            <w:proofErr w:type="spellStart"/>
            <w:r w:rsidRPr="00CD14B5">
              <w:rPr>
                <w:rFonts w:ascii="Times New Roman" w:eastAsia="Calibri" w:hAnsi="Times New Roman" w:cs="Times New Roman"/>
                <w:lang w:val="ru-RU"/>
              </w:rPr>
              <w:t>Электроскладываемый</w:t>
            </w:r>
            <w:proofErr w:type="spellEnd"/>
            <w:r w:rsidRPr="00CD14B5">
              <w:rPr>
                <w:rFonts w:ascii="Times New Roman" w:eastAsia="Calibri" w:hAnsi="Times New Roman" w:cs="Times New Roman"/>
                <w:lang w:val="ru-RU"/>
              </w:rPr>
              <w:t xml:space="preserve"> 3-й ряд сидений. </w:t>
            </w:r>
          </w:p>
          <w:p w14:paraId="5EF4CC4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Антиблокировочная система (</w:t>
            </w:r>
            <w:r w:rsidRPr="00CD14B5">
              <w:rPr>
                <w:rFonts w:ascii="Times New Roman" w:eastAsia="Calibri" w:hAnsi="Times New Roman" w:cs="Times New Roman"/>
              </w:rPr>
              <w:t>ABS</w:t>
            </w:r>
            <w:r w:rsidRPr="00CD14B5">
              <w:rPr>
                <w:rFonts w:ascii="Times New Roman" w:eastAsia="Calibri" w:hAnsi="Times New Roman" w:cs="Times New Roman"/>
                <w:lang w:val="ru-RU"/>
              </w:rPr>
              <w:t xml:space="preserve">); </w:t>
            </w:r>
          </w:p>
          <w:p w14:paraId="704D699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Система курсовой устойчивости; </w:t>
            </w:r>
          </w:p>
          <w:p w14:paraId="64D9206B"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Активная антипробуксовочная система; </w:t>
            </w:r>
          </w:p>
          <w:p w14:paraId="78BDA33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Система помощи при старте на подъеме;</w:t>
            </w:r>
          </w:p>
          <w:p w14:paraId="1E2BD9A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 Усилитель экстренного торможения; </w:t>
            </w:r>
          </w:p>
          <w:p w14:paraId="134A105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Система выбора режимов движения;</w:t>
            </w:r>
          </w:p>
          <w:p w14:paraId="1B60F128"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Система помощи при спуске на подъеме;</w:t>
            </w:r>
          </w:p>
        </w:tc>
      </w:tr>
      <w:tr w:rsidR="00CD14B5" w:rsidRPr="00470DC7" w14:paraId="0C471D25"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1BDD0CE5"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rPr>
              <w:lastRenderedPageBreak/>
              <w:t>8</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0A446F0F"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 xml:space="preserve">Требования к условиям эксплуатации </w:t>
            </w:r>
          </w:p>
        </w:tc>
        <w:tc>
          <w:tcPr>
            <w:tcW w:w="6750" w:type="dxa"/>
            <w:tcBorders>
              <w:top w:val="single" w:sz="4" w:space="0" w:color="auto"/>
              <w:left w:val="single" w:sz="4" w:space="0" w:color="auto"/>
              <w:bottom w:val="single" w:sz="4" w:space="0" w:color="auto"/>
              <w:right w:val="single" w:sz="4" w:space="0" w:color="auto"/>
            </w:tcBorders>
            <w:hideMark/>
          </w:tcPr>
          <w:p w14:paraId="7E6538F5"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Автомобиль должен быть укомплектован зимним пакетом для нормальной эксплуатации в климатических условиях при температуре окружающего воздуха от -40</w:t>
            </w:r>
            <w:r w:rsidRPr="00CD14B5">
              <w:rPr>
                <w:rFonts w:ascii="Times New Roman" w:eastAsia="Calibri" w:hAnsi="Times New Roman" w:cs="Times New Roman"/>
                <w:vertAlign w:val="superscript"/>
                <w:lang w:val="ru-RU"/>
              </w:rPr>
              <w:t>0</w:t>
            </w:r>
            <w:r w:rsidRPr="00CD14B5">
              <w:rPr>
                <w:rFonts w:ascii="Times New Roman" w:eastAsia="Calibri" w:hAnsi="Times New Roman" w:cs="Times New Roman"/>
                <w:lang w:val="ru-RU"/>
              </w:rPr>
              <w:t>С до +45</w:t>
            </w:r>
            <w:r w:rsidRPr="00CD14B5">
              <w:rPr>
                <w:rFonts w:ascii="Times New Roman" w:eastAsia="Calibri" w:hAnsi="Times New Roman" w:cs="Times New Roman"/>
                <w:vertAlign w:val="superscript"/>
                <w:lang w:val="ru-RU"/>
              </w:rPr>
              <w:t>0</w:t>
            </w:r>
            <w:r w:rsidRPr="00CD14B5">
              <w:rPr>
                <w:rFonts w:ascii="Times New Roman" w:eastAsia="Calibri" w:hAnsi="Times New Roman" w:cs="Times New Roman"/>
                <w:lang w:val="ru-RU"/>
              </w:rPr>
              <w:t xml:space="preserve">С </w:t>
            </w:r>
          </w:p>
        </w:tc>
      </w:tr>
      <w:tr w:rsidR="00CD14B5" w:rsidRPr="00470DC7" w14:paraId="616ABDD1" w14:textId="77777777" w:rsidTr="00F17CD9">
        <w:tc>
          <w:tcPr>
            <w:tcW w:w="810" w:type="dxa"/>
            <w:tcBorders>
              <w:top w:val="single" w:sz="4" w:space="0" w:color="auto"/>
              <w:left w:val="single" w:sz="4" w:space="0" w:color="auto"/>
              <w:bottom w:val="single" w:sz="4" w:space="0" w:color="auto"/>
              <w:right w:val="single" w:sz="4" w:space="0" w:color="auto"/>
            </w:tcBorders>
          </w:tcPr>
          <w:p w14:paraId="1F35DDF3"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9.</w:t>
            </w:r>
          </w:p>
        </w:tc>
        <w:tc>
          <w:tcPr>
            <w:tcW w:w="3150" w:type="dxa"/>
            <w:tcBorders>
              <w:top w:val="single" w:sz="4" w:space="0" w:color="auto"/>
              <w:left w:val="single" w:sz="4" w:space="0" w:color="auto"/>
              <w:bottom w:val="single" w:sz="4" w:space="0" w:color="auto"/>
              <w:right w:val="single" w:sz="4" w:space="0" w:color="auto"/>
            </w:tcBorders>
          </w:tcPr>
          <w:p w14:paraId="70906E05"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Условия оплаты и сроки поставки</w:t>
            </w:r>
          </w:p>
        </w:tc>
        <w:tc>
          <w:tcPr>
            <w:tcW w:w="6750" w:type="dxa"/>
            <w:tcBorders>
              <w:top w:val="single" w:sz="4" w:space="0" w:color="auto"/>
              <w:left w:val="single" w:sz="4" w:space="0" w:color="auto"/>
              <w:bottom w:val="single" w:sz="4" w:space="0" w:color="auto"/>
              <w:right w:val="single" w:sz="4" w:space="0" w:color="auto"/>
            </w:tcBorders>
          </w:tcPr>
          <w:p w14:paraId="6FD99F3D"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9.1. Условия оплаты: По согласованию с Заказчиком. </w:t>
            </w:r>
          </w:p>
          <w:p w14:paraId="0ABED6E2"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9.2. Доставка осуществляется Поставщиком до Бишкека в установленные сроки заказчиком. </w:t>
            </w:r>
          </w:p>
          <w:p w14:paraId="564648F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9.3. Наличие сервис центра для гарантийного и пост гарантийного обслуживания. </w:t>
            </w:r>
          </w:p>
        </w:tc>
      </w:tr>
      <w:tr w:rsidR="00CD14B5" w:rsidRPr="00470DC7" w14:paraId="50DFEF50"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5700E5B3"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rPr>
              <w:t>10</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5878D7A5"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Порядок приемки транспортного средства и обучение персонала</w:t>
            </w:r>
          </w:p>
        </w:tc>
        <w:tc>
          <w:tcPr>
            <w:tcW w:w="6750" w:type="dxa"/>
            <w:tcBorders>
              <w:top w:val="single" w:sz="4" w:space="0" w:color="auto"/>
              <w:left w:val="single" w:sz="4" w:space="0" w:color="auto"/>
              <w:bottom w:val="single" w:sz="4" w:space="0" w:color="auto"/>
              <w:right w:val="single" w:sz="4" w:space="0" w:color="auto"/>
            </w:tcBorders>
            <w:hideMark/>
          </w:tcPr>
          <w:p w14:paraId="2EF5CA0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10.1. Приемка производится на территории Заказчика в присутствии ответственного лица Поставщика. </w:t>
            </w:r>
          </w:p>
          <w:p w14:paraId="26555141"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Автомобиль принимается путем подписания сторонами Акта ввода в эксплуатацию. </w:t>
            </w:r>
          </w:p>
          <w:p w14:paraId="321B001C"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10.2. Руководство по эксплуатации (сервисная </w:t>
            </w:r>
            <w:proofErr w:type="gramStart"/>
            <w:r w:rsidRPr="00CD14B5">
              <w:rPr>
                <w:rFonts w:ascii="Times New Roman" w:eastAsia="Calibri" w:hAnsi="Times New Roman" w:cs="Times New Roman"/>
                <w:lang w:val="ru-RU"/>
              </w:rPr>
              <w:t>книжка</w:t>
            </w:r>
            <w:proofErr w:type="gramEnd"/>
            <w:r w:rsidRPr="00CD14B5">
              <w:rPr>
                <w:rFonts w:ascii="Times New Roman" w:eastAsia="Calibri" w:hAnsi="Times New Roman" w:cs="Times New Roman"/>
                <w:lang w:val="ru-RU"/>
              </w:rPr>
              <w:t xml:space="preserve">) на Автомобиль должно быть в комплекте. </w:t>
            </w:r>
          </w:p>
        </w:tc>
      </w:tr>
      <w:tr w:rsidR="00CD14B5" w:rsidRPr="00CD14B5" w14:paraId="2B511BD3"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39ECB24B"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rPr>
              <w:t>11</w:t>
            </w:r>
            <w:r w:rsidRPr="00CD14B5">
              <w:rPr>
                <w:rFonts w:ascii="Times New Roman" w:eastAsia="Calibri" w:hAnsi="Times New Roman" w:cs="Times New Roman"/>
                <w:lang w:val="ru-RU"/>
              </w:rPr>
              <w:t>.</w:t>
            </w:r>
          </w:p>
        </w:tc>
        <w:tc>
          <w:tcPr>
            <w:tcW w:w="3150" w:type="dxa"/>
            <w:tcBorders>
              <w:top w:val="single" w:sz="4" w:space="0" w:color="auto"/>
              <w:left w:val="single" w:sz="4" w:space="0" w:color="auto"/>
              <w:bottom w:val="single" w:sz="4" w:space="0" w:color="auto"/>
              <w:right w:val="single" w:sz="4" w:space="0" w:color="auto"/>
            </w:tcBorders>
            <w:hideMark/>
          </w:tcPr>
          <w:p w14:paraId="4880C61B"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Гарантийный срок транспортного средства</w:t>
            </w:r>
          </w:p>
        </w:tc>
        <w:tc>
          <w:tcPr>
            <w:tcW w:w="6750" w:type="dxa"/>
            <w:tcBorders>
              <w:top w:val="single" w:sz="4" w:space="0" w:color="auto"/>
              <w:left w:val="single" w:sz="4" w:space="0" w:color="auto"/>
              <w:bottom w:val="single" w:sz="4" w:space="0" w:color="auto"/>
              <w:right w:val="single" w:sz="4" w:space="0" w:color="auto"/>
            </w:tcBorders>
            <w:hideMark/>
          </w:tcPr>
          <w:p w14:paraId="0F3CD201"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Гарантийный срок автомобиля должен составить не менее 12 месяцев с начала ввода в эксплуатацию Автомобиля или 100 000 </w:t>
            </w:r>
            <w:proofErr w:type="gramStart"/>
            <w:r w:rsidRPr="00CD14B5">
              <w:rPr>
                <w:rFonts w:ascii="Times New Roman" w:eastAsia="Calibri" w:hAnsi="Times New Roman" w:cs="Times New Roman"/>
                <w:lang w:val="ru-RU"/>
              </w:rPr>
              <w:t>км.</w:t>
            </w:r>
            <w:proofErr w:type="gramEnd"/>
            <w:r w:rsidRPr="00CD14B5">
              <w:rPr>
                <w:rFonts w:ascii="Times New Roman" w:eastAsia="Calibri" w:hAnsi="Times New Roman" w:cs="Times New Roman"/>
                <w:lang w:val="ru-RU"/>
              </w:rPr>
              <w:t xml:space="preserve"> пробега, что наступит ранее.</w:t>
            </w:r>
          </w:p>
        </w:tc>
      </w:tr>
      <w:tr w:rsidR="00CD14B5" w:rsidRPr="00470DC7" w14:paraId="54E4E7CA" w14:textId="77777777" w:rsidTr="00F17CD9">
        <w:tc>
          <w:tcPr>
            <w:tcW w:w="810" w:type="dxa"/>
            <w:tcBorders>
              <w:top w:val="single" w:sz="4" w:space="0" w:color="auto"/>
              <w:left w:val="single" w:sz="4" w:space="0" w:color="auto"/>
              <w:bottom w:val="single" w:sz="4" w:space="0" w:color="auto"/>
              <w:right w:val="single" w:sz="4" w:space="0" w:color="auto"/>
            </w:tcBorders>
          </w:tcPr>
          <w:p w14:paraId="61A52E9D"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12.</w:t>
            </w:r>
          </w:p>
        </w:tc>
        <w:tc>
          <w:tcPr>
            <w:tcW w:w="3150" w:type="dxa"/>
            <w:tcBorders>
              <w:top w:val="single" w:sz="4" w:space="0" w:color="auto"/>
              <w:left w:val="single" w:sz="4" w:space="0" w:color="auto"/>
              <w:bottom w:val="single" w:sz="4" w:space="0" w:color="auto"/>
              <w:right w:val="single" w:sz="4" w:space="0" w:color="auto"/>
            </w:tcBorders>
          </w:tcPr>
          <w:p w14:paraId="18FA2962"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 xml:space="preserve">Критерии оценки качества </w:t>
            </w:r>
          </w:p>
        </w:tc>
        <w:tc>
          <w:tcPr>
            <w:tcW w:w="6750" w:type="dxa"/>
            <w:tcBorders>
              <w:top w:val="single" w:sz="4" w:space="0" w:color="auto"/>
              <w:left w:val="single" w:sz="4" w:space="0" w:color="auto"/>
              <w:bottom w:val="single" w:sz="4" w:space="0" w:color="auto"/>
              <w:right w:val="single" w:sz="4" w:space="0" w:color="auto"/>
            </w:tcBorders>
          </w:tcPr>
          <w:p w14:paraId="5012611A"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12.1. После ввода в эксплуатацию в течение гарантийного срока производится оценка АТС. Характеристика должна соответствовать заводским показателям. </w:t>
            </w:r>
          </w:p>
          <w:p w14:paraId="6C240DBE"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12.2. В случае выявления несоответствий наших требований Поставщик берет на себя все затраты по их устранению. </w:t>
            </w:r>
          </w:p>
          <w:p w14:paraId="3E30100F"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12.3. Автомашина должна соответствовать требованиям безопасности, установленным действующим законодательством КР / ЕАЭС. </w:t>
            </w:r>
          </w:p>
        </w:tc>
      </w:tr>
      <w:tr w:rsidR="00CD14B5" w:rsidRPr="00CD14B5" w14:paraId="42C5969A" w14:textId="77777777" w:rsidTr="00F17CD9">
        <w:tc>
          <w:tcPr>
            <w:tcW w:w="810" w:type="dxa"/>
            <w:tcBorders>
              <w:top w:val="single" w:sz="4" w:space="0" w:color="auto"/>
              <w:left w:val="single" w:sz="4" w:space="0" w:color="auto"/>
              <w:bottom w:val="single" w:sz="4" w:space="0" w:color="auto"/>
              <w:right w:val="single" w:sz="4" w:space="0" w:color="auto"/>
            </w:tcBorders>
            <w:hideMark/>
          </w:tcPr>
          <w:p w14:paraId="6C9D1024"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rPr>
              <w:t>1</w:t>
            </w:r>
            <w:r w:rsidRPr="00CD14B5">
              <w:rPr>
                <w:rFonts w:ascii="Times New Roman" w:eastAsia="Calibri" w:hAnsi="Times New Roman" w:cs="Times New Roman"/>
                <w:lang w:val="ru-RU"/>
              </w:rPr>
              <w:t>3.</w:t>
            </w:r>
          </w:p>
        </w:tc>
        <w:tc>
          <w:tcPr>
            <w:tcW w:w="3150" w:type="dxa"/>
            <w:tcBorders>
              <w:top w:val="single" w:sz="4" w:space="0" w:color="auto"/>
              <w:left w:val="single" w:sz="4" w:space="0" w:color="auto"/>
              <w:bottom w:val="single" w:sz="4" w:space="0" w:color="auto"/>
              <w:right w:val="single" w:sz="4" w:space="0" w:color="auto"/>
            </w:tcBorders>
            <w:hideMark/>
          </w:tcPr>
          <w:p w14:paraId="60811429"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 xml:space="preserve">Требование к документации </w:t>
            </w:r>
          </w:p>
        </w:tc>
        <w:tc>
          <w:tcPr>
            <w:tcW w:w="6750" w:type="dxa"/>
            <w:tcBorders>
              <w:top w:val="single" w:sz="4" w:space="0" w:color="auto"/>
              <w:left w:val="single" w:sz="4" w:space="0" w:color="auto"/>
              <w:bottom w:val="single" w:sz="4" w:space="0" w:color="auto"/>
              <w:right w:val="single" w:sz="4" w:space="0" w:color="auto"/>
            </w:tcBorders>
            <w:hideMark/>
          </w:tcPr>
          <w:p w14:paraId="52EF5610"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Наличие полного комплекта документации необходимого для поставки транспортного средства на учет в государственном Центре </w:t>
            </w:r>
            <w:proofErr w:type="spellStart"/>
            <w:r w:rsidRPr="00CD14B5">
              <w:rPr>
                <w:rFonts w:ascii="Times New Roman" w:eastAsia="Calibri" w:hAnsi="Times New Roman" w:cs="Times New Roman"/>
                <w:lang w:val="ru-RU"/>
              </w:rPr>
              <w:t>РТСиВС</w:t>
            </w:r>
            <w:proofErr w:type="spellEnd"/>
            <w:r w:rsidRPr="00CD14B5">
              <w:rPr>
                <w:rFonts w:ascii="Times New Roman" w:eastAsia="Calibri" w:hAnsi="Times New Roman" w:cs="Times New Roman"/>
                <w:lang w:val="ru-RU"/>
              </w:rPr>
              <w:t xml:space="preserve"> в соответствии с ППКР. Копии грузовых таможенных деклараций. Наличие гарантийной и сервисной </w:t>
            </w:r>
            <w:proofErr w:type="gramStart"/>
            <w:r w:rsidRPr="00CD14B5">
              <w:rPr>
                <w:rFonts w:ascii="Times New Roman" w:eastAsia="Calibri" w:hAnsi="Times New Roman" w:cs="Times New Roman"/>
                <w:lang w:val="ru-RU"/>
              </w:rPr>
              <w:t>книжки</w:t>
            </w:r>
            <w:proofErr w:type="gramEnd"/>
            <w:r w:rsidRPr="00CD14B5">
              <w:rPr>
                <w:rFonts w:ascii="Times New Roman" w:eastAsia="Calibri" w:hAnsi="Times New Roman" w:cs="Times New Roman"/>
                <w:lang w:val="ru-RU"/>
              </w:rPr>
              <w:t>, руководство по эксплуатации на русском языке в бумажном и электронном формате. Каталог запасных частей.</w:t>
            </w:r>
          </w:p>
        </w:tc>
      </w:tr>
      <w:tr w:rsidR="00CD14B5" w:rsidRPr="00470DC7" w14:paraId="68B63AE9" w14:textId="77777777" w:rsidTr="00F17CD9">
        <w:tc>
          <w:tcPr>
            <w:tcW w:w="810" w:type="dxa"/>
            <w:tcBorders>
              <w:top w:val="single" w:sz="4" w:space="0" w:color="auto"/>
              <w:left w:val="single" w:sz="4" w:space="0" w:color="auto"/>
              <w:bottom w:val="single" w:sz="4" w:space="0" w:color="auto"/>
              <w:right w:val="single" w:sz="4" w:space="0" w:color="auto"/>
            </w:tcBorders>
          </w:tcPr>
          <w:p w14:paraId="312F7647" w14:textId="77777777" w:rsidR="00CD14B5" w:rsidRPr="00CD14B5" w:rsidRDefault="00CD14B5" w:rsidP="00CD14B5">
            <w:pPr>
              <w:jc w:val="center"/>
              <w:rPr>
                <w:rFonts w:ascii="Times New Roman" w:eastAsia="Calibri" w:hAnsi="Times New Roman" w:cs="Times New Roman"/>
                <w:lang w:val="ru-RU"/>
              </w:rPr>
            </w:pPr>
            <w:r w:rsidRPr="00CD14B5">
              <w:rPr>
                <w:rFonts w:ascii="Times New Roman" w:eastAsia="Calibri" w:hAnsi="Times New Roman" w:cs="Times New Roman"/>
                <w:lang w:val="ru-RU"/>
              </w:rPr>
              <w:t xml:space="preserve">14. </w:t>
            </w:r>
          </w:p>
        </w:tc>
        <w:tc>
          <w:tcPr>
            <w:tcW w:w="3150" w:type="dxa"/>
            <w:tcBorders>
              <w:top w:val="single" w:sz="4" w:space="0" w:color="auto"/>
              <w:left w:val="single" w:sz="4" w:space="0" w:color="auto"/>
              <w:bottom w:val="single" w:sz="4" w:space="0" w:color="auto"/>
              <w:right w:val="single" w:sz="4" w:space="0" w:color="auto"/>
            </w:tcBorders>
          </w:tcPr>
          <w:p w14:paraId="04D93D97" w14:textId="77777777" w:rsidR="00CD14B5" w:rsidRPr="00CD14B5" w:rsidRDefault="00CD14B5" w:rsidP="00CD14B5">
            <w:pPr>
              <w:rPr>
                <w:rFonts w:ascii="Times New Roman" w:eastAsia="Calibri" w:hAnsi="Times New Roman" w:cs="Times New Roman"/>
                <w:lang w:val="ru-RU"/>
              </w:rPr>
            </w:pPr>
            <w:r w:rsidRPr="00CD14B5">
              <w:rPr>
                <w:rFonts w:ascii="Times New Roman" w:eastAsia="Calibri" w:hAnsi="Times New Roman" w:cs="Times New Roman"/>
                <w:lang w:val="ru-RU"/>
              </w:rPr>
              <w:t xml:space="preserve">Конфиденциальность </w:t>
            </w:r>
          </w:p>
        </w:tc>
        <w:tc>
          <w:tcPr>
            <w:tcW w:w="6750" w:type="dxa"/>
            <w:tcBorders>
              <w:top w:val="single" w:sz="4" w:space="0" w:color="auto"/>
              <w:left w:val="single" w:sz="4" w:space="0" w:color="auto"/>
              <w:bottom w:val="single" w:sz="4" w:space="0" w:color="auto"/>
              <w:right w:val="single" w:sz="4" w:space="0" w:color="auto"/>
            </w:tcBorders>
          </w:tcPr>
          <w:p w14:paraId="1D1C7B63" w14:textId="77777777" w:rsidR="00CD14B5" w:rsidRPr="00CD14B5" w:rsidRDefault="00CD14B5" w:rsidP="00CD14B5">
            <w:pPr>
              <w:jc w:val="both"/>
              <w:rPr>
                <w:rFonts w:ascii="Times New Roman" w:eastAsia="Calibri" w:hAnsi="Times New Roman" w:cs="Times New Roman"/>
                <w:lang w:val="ru-RU"/>
              </w:rPr>
            </w:pPr>
            <w:r w:rsidRPr="00CD14B5">
              <w:rPr>
                <w:rFonts w:ascii="Times New Roman" w:eastAsia="Calibri" w:hAnsi="Times New Roman" w:cs="Times New Roman"/>
                <w:lang w:val="ru-RU"/>
              </w:rPr>
              <w:t xml:space="preserve">Данные о проведении сделки будут являться конфиденциальными, разглашение третьим лицам запрещено. </w:t>
            </w:r>
          </w:p>
        </w:tc>
      </w:tr>
    </w:tbl>
    <w:p w14:paraId="69C81EC5" w14:textId="09B9AC61" w:rsidR="00AC7C4F" w:rsidRPr="00470DC7" w:rsidRDefault="00AC7C4F" w:rsidP="00AC7C4F">
      <w:pPr>
        <w:spacing w:line="256" w:lineRule="auto"/>
        <w:rPr>
          <w:rFonts w:ascii="Times New Roman" w:eastAsia="Calibri" w:hAnsi="Times New Roman" w:cs="Times New Roman"/>
          <w:b/>
          <w:bCs/>
          <w:kern w:val="0"/>
          <w:lang w:val="ru-RU"/>
          <w14:ligatures w14:val="none"/>
        </w:rPr>
      </w:pPr>
      <w:r w:rsidRPr="00470DC7">
        <w:rPr>
          <w:rFonts w:ascii="Times New Roman" w:eastAsia="Calibri" w:hAnsi="Times New Roman" w:cs="Times New Roman"/>
          <w:b/>
          <w:bCs/>
          <w:kern w:val="0"/>
          <w:lang w:val="ru-RU"/>
          <w14:ligatures w14:val="none"/>
        </w:rPr>
        <w:tab/>
      </w:r>
    </w:p>
    <w:p w14:paraId="1E59A5E7" w14:textId="77777777" w:rsidR="00470DC7" w:rsidRDefault="00470DC7" w:rsidP="00AC7C4F">
      <w:pPr>
        <w:spacing w:line="256" w:lineRule="auto"/>
        <w:jc w:val="center"/>
        <w:rPr>
          <w:rFonts w:ascii="Times New Roman" w:eastAsia="Calibri" w:hAnsi="Times New Roman" w:cs="Times New Roman"/>
          <w:b/>
          <w:bCs/>
          <w:kern w:val="0"/>
          <w:lang w:val="ru-RU"/>
          <w14:ligatures w14:val="none"/>
        </w:rPr>
      </w:pPr>
    </w:p>
    <w:p w14:paraId="23B91500" w14:textId="77777777" w:rsidR="00470DC7" w:rsidRDefault="00470DC7" w:rsidP="00AC7C4F">
      <w:pPr>
        <w:spacing w:line="256" w:lineRule="auto"/>
        <w:jc w:val="center"/>
        <w:rPr>
          <w:rFonts w:ascii="Times New Roman" w:eastAsia="Calibri" w:hAnsi="Times New Roman" w:cs="Times New Roman"/>
          <w:b/>
          <w:bCs/>
          <w:kern w:val="0"/>
          <w:lang w:val="ru-RU"/>
          <w14:ligatures w14:val="none"/>
        </w:rPr>
      </w:pPr>
    </w:p>
    <w:p w14:paraId="307377B7" w14:textId="77777777" w:rsidR="00470DC7" w:rsidRDefault="00470DC7" w:rsidP="00AC7C4F">
      <w:pPr>
        <w:spacing w:line="256" w:lineRule="auto"/>
        <w:jc w:val="center"/>
        <w:rPr>
          <w:rFonts w:ascii="Times New Roman" w:eastAsia="Calibri" w:hAnsi="Times New Roman" w:cs="Times New Roman"/>
          <w:b/>
          <w:bCs/>
          <w:kern w:val="0"/>
          <w:lang w:val="ru-RU"/>
          <w14:ligatures w14:val="none"/>
        </w:rPr>
      </w:pPr>
    </w:p>
    <w:p w14:paraId="00FBEE02" w14:textId="77777777" w:rsidR="00470DC7" w:rsidRDefault="00470DC7" w:rsidP="00AC7C4F">
      <w:pPr>
        <w:spacing w:line="256" w:lineRule="auto"/>
        <w:jc w:val="center"/>
        <w:rPr>
          <w:rFonts w:ascii="Times New Roman" w:eastAsia="Calibri" w:hAnsi="Times New Roman" w:cs="Times New Roman"/>
          <w:b/>
          <w:bCs/>
          <w:kern w:val="0"/>
          <w:lang w:val="ru-RU"/>
          <w14:ligatures w14:val="none"/>
        </w:rPr>
      </w:pPr>
    </w:p>
    <w:p w14:paraId="30381E42" w14:textId="77777777" w:rsidR="00470DC7" w:rsidRDefault="00470DC7" w:rsidP="00AC7C4F">
      <w:pPr>
        <w:spacing w:line="256" w:lineRule="auto"/>
        <w:jc w:val="center"/>
        <w:rPr>
          <w:rFonts w:ascii="Times New Roman" w:eastAsia="Calibri" w:hAnsi="Times New Roman" w:cs="Times New Roman"/>
          <w:b/>
          <w:bCs/>
          <w:kern w:val="0"/>
          <w:lang w:val="ru-RU"/>
          <w14:ligatures w14:val="none"/>
        </w:rPr>
      </w:pPr>
    </w:p>
    <w:p w14:paraId="3D516673" w14:textId="5BE66185" w:rsidR="00AC7C4F" w:rsidRPr="00BC15B4" w:rsidRDefault="00AC7C4F" w:rsidP="00AC7C4F">
      <w:pPr>
        <w:spacing w:line="256" w:lineRule="auto"/>
        <w:jc w:val="center"/>
        <w:rPr>
          <w:rFonts w:ascii="Times New Roman" w:eastAsia="Calibri" w:hAnsi="Times New Roman" w:cs="Times New Roman"/>
          <w:b/>
          <w:bCs/>
          <w:kern w:val="0"/>
          <w14:ligatures w14:val="none"/>
        </w:rPr>
      </w:pPr>
      <w:r w:rsidRPr="00CD14B5">
        <w:rPr>
          <w:rFonts w:ascii="Times New Roman" w:eastAsia="Calibri" w:hAnsi="Times New Roman" w:cs="Times New Roman"/>
          <w:b/>
          <w:bCs/>
          <w:kern w:val="0"/>
          <w:lang w:val="en"/>
          <w14:ligatures w14:val="none"/>
        </w:rPr>
        <w:lastRenderedPageBreak/>
        <w:t>TERMS OF REFERENCE</w:t>
      </w:r>
    </w:p>
    <w:p w14:paraId="76D41F6B" w14:textId="77777777" w:rsidR="00AC7C4F" w:rsidRPr="00BC15B4" w:rsidRDefault="00AC7C4F" w:rsidP="00AC7C4F">
      <w:pPr>
        <w:spacing w:after="0" w:line="256" w:lineRule="auto"/>
        <w:jc w:val="center"/>
        <w:rPr>
          <w:rFonts w:ascii="Times New Roman" w:eastAsia="Calibri" w:hAnsi="Times New Roman" w:cs="Times New Roman"/>
          <w:b/>
          <w:bCs/>
          <w:kern w:val="0"/>
          <w14:ligatures w14:val="none"/>
        </w:rPr>
      </w:pPr>
      <w:r w:rsidRPr="00CD14B5">
        <w:rPr>
          <w:rFonts w:ascii="Times New Roman" w:eastAsia="Calibri" w:hAnsi="Times New Roman" w:cs="Times New Roman"/>
          <w:b/>
          <w:bCs/>
          <w:kern w:val="0"/>
          <w:lang w:val="en"/>
          <w14:ligatures w14:val="none"/>
        </w:rPr>
        <w:t>for the purchase of a Toyota Prado vehicle for Kumtor Gold Company CJSC</w:t>
      </w:r>
    </w:p>
    <w:p w14:paraId="42C63D50" w14:textId="0ED04200" w:rsidR="00AC7C4F" w:rsidRPr="0052564E" w:rsidRDefault="00AC7C4F" w:rsidP="00AC7C4F">
      <w:pPr>
        <w:spacing w:line="256" w:lineRule="auto"/>
        <w:jc w:val="center"/>
        <w:rPr>
          <w:rFonts w:ascii="Times New Roman" w:eastAsia="Calibri" w:hAnsi="Times New Roman" w:cs="Times New Roman"/>
          <w:kern w:val="0"/>
          <w:lang w:val="en"/>
          <w14:ligatures w14:val="none"/>
        </w:rPr>
      </w:pPr>
    </w:p>
    <w:tbl>
      <w:tblPr>
        <w:tblStyle w:val="ac"/>
        <w:tblW w:w="10710" w:type="dxa"/>
        <w:tblInd w:w="-635" w:type="dxa"/>
        <w:tblLook w:val="04A0" w:firstRow="1" w:lastRow="0" w:firstColumn="1" w:lastColumn="0" w:noHBand="0" w:noVBand="1"/>
      </w:tblPr>
      <w:tblGrid>
        <w:gridCol w:w="810"/>
        <w:gridCol w:w="3150"/>
        <w:gridCol w:w="6750"/>
      </w:tblGrid>
      <w:tr w:rsidR="00AC7C4F" w14:paraId="2D4B68B6" w14:textId="77777777" w:rsidTr="00CF2395">
        <w:trPr>
          <w:trHeight w:val="656"/>
        </w:trPr>
        <w:tc>
          <w:tcPr>
            <w:tcW w:w="810" w:type="dxa"/>
            <w:tcBorders>
              <w:top w:val="single" w:sz="4" w:space="0" w:color="auto"/>
              <w:left w:val="single" w:sz="4" w:space="0" w:color="auto"/>
              <w:bottom w:val="single" w:sz="4" w:space="0" w:color="auto"/>
              <w:right w:val="single" w:sz="4" w:space="0" w:color="auto"/>
            </w:tcBorders>
            <w:hideMark/>
          </w:tcPr>
          <w:p w14:paraId="4A2B0033" w14:textId="77777777" w:rsidR="00AC7C4F" w:rsidRPr="00CD14B5" w:rsidRDefault="00AC7C4F" w:rsidP="00CF2395">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Item</w:t>
            </w:r>
          </w:p>
          <w:p w14:paraId="6EB39212" w14:textId="77777777" w:rsidR="00AC7C4F" w:rsidRPr="00CD14B5" w:rsidRDefault="00AC7C4F" w:rsidP="00CF2395">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w:t>
            </w:r>
          </w:p>
        </w:tc>
        <w:tc>
          <w:tcPr>
            <w:tcW w:w="3150" w:type="dxa"/>
            <w:tcBorders>
              <w:top w:val="single" w:sz="4" w:space="0" w:color="auto"/>
              <w:left w:val="single" w:sz="4" w:space="0" w:color="auto"/>
              <w:bottom w:val="single" w:sz="4" w:space="0" w:color="auto"/>
              <w:right w:val="single" w:sz="4" w:space="0" w:color="auto"/>
            </w:tcBorders>
            <w:hideMark/>
          </w:tcPr>
          <w:p w14:paraId="79F7ABCE" w14:textId="77777777" w:rsidR="00AC7C4F" w:rsidRPr="00CD14B5" w:rsidRDefault="00AC7C4F" w:rsidP="00CF2395">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Section</w:t>
            </w:r>
          </w:p>
        </w:tc>
        <w:tc>
          <w:tcPr>
            <w:tcW w:w="6750" w:type="dxa"/>
            <w:tcBorders>
              <w:top w:val="single" w:sz="4" w:space="0" w:color="auto"/>
              <w:left w:val="single" w:sz="4" w:space="0" w:color="auto"/>
              <w:bottom w:val="single" w:sz="4" w:space="0" w:color="auto"/>
              <w:right w:val="single" w:sz="4" w:space="0" w:color="auto"/>
            </w:tcBorders>
            <w:hideMark/>
          </w:tcPr>
          <w:p w14:paraId="2D86F400" w14:textId="77777777" w:rsidR="00AC7C4F" w:rsidRPr="00CD14B5" w:rsidRDefault="00AC7C4F" w:rsidP="00CF2395">
            <w:pPr>
              <w:jc w:val="center"/>
              <w:rPr>
                <w:rFonts w:ascii="Times New Roman" w:eastAsia="Calibri" w:hAnsi="Times New Roman" w:cs="Times New Roman"/>
                <w:b/>
                <w:bCs/>
                <w:lang w:val="ru-RU"/>
              </w:rPr>
            </w:pPr>
            <w:r w:rsidRPr="00CD14B5">
              <w:rPr>
                <w:rFonts w:ascii="Times New Roman" w:eastAsia="Calibri" w:hAnsi="Times New Roman" w:cs="Times New Roman"/>
                <w:b/>
                <w:bCs/>
                <w:lang w:val="en"/>
              </w:rPr>
              <w:t>Specifications and technical requirements</w:t>
            </w:r>
          </w:p>
        </w:tc>
      </w:tr>
      <w:tr w:rsidR="00AC7C4F" w14:paraId="7BCA4E2A" w14:textId="77777777" w:rsidTr="00CF2395">
        <w:trPr>
          <w:trHeight w:val="341"/>
        </w:trPr>
        <w:tc>
          <w:tcPr>
            <w:tcW w:w="810" w:type="dxa"/>
            <w:tcBorders>
              <w:top w:val="single" w:sz="4" w:space="0" w:color="auto"/>
              <w:left w:val="single" w:sz="4" w:space="0" w:color="auto"/>
              <w:bottom w:val="single" w:sz="4" w:space="0" w:color="auto"/>
              <w:right w:val="single" w:sz="4" w:space="0" w:color="auto"/>
            </w:tcBorders>
          </w:tcPr>
          <w:p w14:paraId="40FCD73F"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1.</w:t>
            </w:r>
          </w:p>
        </w:tc>
        <w:tc>
          <w:tcPr>
            <w:tcW w:w="3150" w:type="dxa"/>
            <w:tcBorders>
              <w:top w:val="single" w:sz="4" w:space="0" w:color="auto"/>
              <w:left w:val="single" w:sz="4" w:space="0" w:color="auto"/>
              <w:bottom w:val="single" w:sz="4" w:space="0" w:color="auto"/>
              <w:right w:val="single" w:sz="4" w:space="0" w:color="auto"/>
            </w:tcBorders>
          </w:tcPr>
          <w:p w14:paraId="3EDA7084"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 xml:space="preserve">Location </w:t>
            </w:r>
          </w:p>
        </w:tc>
        <w:tc>
          <w:tcPr>
            <w:tcW w:w="6750" w:type="dxa"/>
            <w:tcBorders>
              <w:top w:val="single" w:sz="4" w:space="0" w:color="auto"/>
              <w:left w:val="single" w:sz="4" w:space="0" w:color="auto"/>
              <w:bottom w:val="single" w:sz="4" w:space="0" w:color="auto"/>
              <w:right w:val="single" w:sz="4" w:space="0" w:color="auto"/>
            </w:tcBorders>
          </w:tcPr>
          <w:p w14:paraId="5D1B4F9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24 Ibraimov St., Bishkek, Kyrgyz Republic. </w:t>
            </w:r>
          </w:p>
        </w:tc>
      </w:tr>
      <w:tr w:rsidR="00AC7C4F" w14:paraId="0F1C2DA8" w14:textId="77777777" w:rsidTr="00CF2395">
        <w:trPr>
          <w:trHeight w:val="341"/>
        </w:trPr>
        <w:tc>
          <w:tcPr>
            <w:tcW w:w="810" w:type="dxa"/>
            <w:tcBorders>
              <w:top w:val="single" w:sz="4" w:space="0" w:color="auto"/>
              <w:left w:val="single" w:sz="4" w:space="0" w:color="auto"/>
              <w:bottom w:val="single" w:sz="4" w:space="0" w:color="auto"/>
              <w:right w:val="single" w:sz="4" w:space="0" w:color="auto"/>
            </w:tcBorders>
          </w:tcPr>
          <w:p w14:paraId="1B25A56F"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2.</w:t>
            </w:r>
          </w:p>
        </w:tc>
        <w:tc>
          <w:tcPr>
            <w:tcW w:w="3150" w:type="dxa"/>
            <w:tcBorders>
              <w:top w:val="single" w:sz="4" w:space="0" w:color="auto"/>
              <w:left w:val="single" w:sz="4" w:space="0" w:color="auto"/>
              <w:bottom w:val="single" w:sz="4" w:space="0" w:color="auto"/>
              <w:right w:val="single" w:sz="4" w:space="0" w:color="auto"/>
            </w:tcBorders>
          </w:tcPr>
          <w:p w14:paraId="0E4856B0"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 xml:space="preserve">Client </w:t>
            </w:r>
          </w:p>
        </w:tc>
        <w:tc>
          <w:tcPr>
            <w:tcW w:w="6750" w:type="dxa"/>
            <w:tcBorders>
              <w:top w:val="single" w:sz="4" w:space="0" w:color="auto"/>
              <w:left w:val="single" w:sz="4" w:space="0" w:color="auto"/>
              <w:bottom w:val="single" w:sz="4" w:space="0" w:color="auto"/>
              <w:right w:val="single" w:sz="4" w:space="0" w:color="auto"/>
            </w:tcBorders>
          </w:tcPr>
          <w:p w14:paraId="08325CBB"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Kumtor Gold Company CJSC.</w:t>
            </w:r>
          </w:p>
        </w:tc>
      </w:tr>
      <w:tr w:rsidR="00AC7C4F" w14:paraId="5C18A302" w14:textId="77777777" w:rsidTr="00CF2395">
        <w:trPr>
          <w:trHeight w:val="656"/>
        </w:trPr>
        <w:tc>
          <w:tcPr>
            <w:tcW w:w="810" w:type="dxa"/>
            <w:tcBorders>
              <w:top w:val="single" w:sz="4" w:space="0" w:color="auto"/>
              <w:left w:val="single" w:sz="4" w:space="0" w:color="auto"/>
              <w:bottom w:val="single" w:sz="4" w:space="0" w:color="auto"/>
              <w:right w:val="single" w:sz="4" w:space="0" w:color="auto"/>
            </w:tcBorders>
          </w:tcPr>
          <w:p w14:paraId="47103097"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 xml:space="preserve">3. </w:t>
            </w:r>
          </w:p>
        </w:tc>
        <w:tc>
          <w:tcPr>
            <w:tcW w:w="3150" w:type="dxa"/>
            <w:tcBorders>
              <w:top w:val="single" w:sz="4" w:space="0" w:color="auto"/>
              <w:left w:val="single" w:sz="4" w:space="0" w:color="auto"/>
              <w:bottom w:val="single" w:sz="4" w:space="0" w:color="auto"/>
              <w:right w:val="single" w:sz="4" w:space="0" w:color="auto"/>
            </w:tcBorders>
          </w:tcPr>
          <w:p w14:paraId="5324F14A"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Purpose of the purchase</w:t>
            </w:r>
          </w:p>
        </w:tc>
        <w:tc>
          <w:tcPr>
            <w:tcW w:w="6750" w:type="dxa"/>
            <w:tcBorders>
              <w:top w:val="single" w:sz="4" w:space="0" w:color="auto"/>
              <w:left w:val="single" w:sz="4" w:space="0" w:color="auto"/>
              <w:bottom w:val="single" w:sz="4" w:space="0" w:color="auto"/>
              <w:right w:val="single" w:sz="4" w:space="0" w:color="auto"/>
            </w:tcBorders>
          </w:tcPr>
          <w:p w14:paraId="4B4974F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The subject of these Terms of Reference (TOR) is the purchase of 2 (two) units of vehicle. </w:t>
            </w:r>
          </w:p>
        </w:tc>
      </w:tr>
      <w:tr w:rsidR="00AC7C4F" w14:paraId="5EBAA139"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383272EC"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4.</w:t>
            </w:r>
          </w:p>
        </w:tc>
        <w:tc>
          <w:tcPr>
            <w:tcW w:w="3150" w:type="dxa"/>
            <w:tcBorders>
              <w:top w:val="single" w:sz="4" w:space="0" w:color="auto"/>
              <w:left w:val="single" w:sz="4" w:space="0" w:color="auto"/>
              <w:bottom w:val="single" w:sz="4" w:space="0" w:color="auto"/>
              <w:right w:val="single" w:sz="4" w:space="0" w:color="auto"/>
            </w:tcBorders>
            <w:hideMark/>
          </w:tcPr>
          <w:p w14:paraId="026F907E"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Manufacturing date requirements</w:t>
            </w:r>
          </w:p>
        </w:tc>
        <w:tc>
          <w:tcPr>
            <w:tcW w:w="6750" w:type="dxa"/>
            <w:tcBorders>
              <w:top w:val="single" w:sz="4" w:space="0" w:color="auto"/>
              <w:left w:val="single" w:sz="4" w:space="0" w:color="auto"/>
              <w:bottom w:val="single" w:sz="4" w:space="0" w:color="auto"/>
              <w:right w:val="single" w:sz="4" w:space="0" w:color="auto"/>
            </w:tcBorders>
            <w:hideMark/>
          </w:tcPr>
          <w:p w14:paraId="0D06F39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The vehicle shall be brand new, manufactured no earlier than 2025. </w:t>
            </w:r>
          </w:p>
        </w:tc>
      </w:tr>
      <w:tr w:rsidR="00AC7C4F" w14:paraId="32D563D6" w14:textId="77777777" w:rsidTr="00CF2395">
        <w:tc>
          <w:tcPr>
            <w:tcW w:w="810" w:type="dxa"/>
            <w:tcBorders>
              <w:top w:val="single" w:sz="4" w:space="0" w:color="auto"/>
              <w:left w:val="single" w:sz="4" w:space="0" w:color="auto"/>
              <w:bottom w:val="single" w:sz="4" w:space="0" w:color="auto"/>
              <w:right w:val="single" w:sz="4" w:space="0" w:color="auto"/>
            </w:tcBorders>
          </w:tcPr>
          <w:p w14:paraId="38C7E43C"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 xml:space="preserve">5. </w:t>
            </w:r>
          </w:p>
        </w:tc>
        <w:tc>
          <w:tcPr>
            <w:tcW w:w="3150" w:type="dxa"/>
            <w:tcBorders>
              <w:top w:val="single" w:sz="4" w:space="0" w:color="auto"/>
              <w:left w:val="single" w:sz="4" w:space="0" w:color="auto"/>
              <w:bottom w:val="single" w:sz="4" w:space="0" w:color="auto"/>
              <w:right w:val="single" w:sz="4" w:space="0" w:color="auto"/>
            </w:tcBorders>
          </w:tcPr>
          <w:p w14:paraId="678BA8DD"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General requirements/Regulations and standards</w:t>
            </w:r>
          </w:p>
        </w:tc>
        <w:tc>
          <w:tcPr>
            <w:tcW w:w="6750" w:type="dxa"/>
            <w:tcBorders>
              <w:top w:val="single" w:sz="4" w:space="0" w:color="auto"/>
              <w:left w:val="single" w:sz="4" w:space="0" w:color="auto"/>
              <w:bottom w:val="single" w:sz="4" w:space="0" w:color="auto"/>
              <w:right w:val="single" w:sz="4" w:space="0" w:color="auto"/>
            </w:tcBorders>
          </w:tcPr>
          <w:p w14:paraId="73DA02AB"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5.1. The supplied vehicle (hereinafter referred to as the vehicle) shall be new and unused. </w:t>
            </w:r>
          </w:p>
          <w:p w14:paraId="0DA558E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Body type: SUV (jeep), passenger vehicle. </w:t>
            </w:r>
          </w:p>
          <w:p w14:paraId="1B50564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Scope of operation: on highways, unpaved roads, and mountainous terrain, including mountain roads located at an altitude above 4,000 meters above sea level. </w:t>
            </w:r>
          </w:p>
          <w:p w14:paraId="740AE31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5.2. All required user manuals and technical documentation shall be included in the package and shall not be accepted in the form of copies. </w:t>
            </w:r>
          </w:p>
          <w:p w14:paraId="60B7E35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5.3. The vehicle shall comply with the applicable safety requirements established by law. </w:t>
            </w:r>
          </w:p>
          <w:p w14:paraId="099A758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5.4. When supplying the vehicle, the Supplier shall provide originals or duly certified copies of valid certificates:</w:t>
            </w:r>
          </w:p>
          <w:p w14:paraId="059B707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manufacturer's certificate of origin. </w:t>
            </w:r>
          </w:p>
          <w:p w14:paraId="3737714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certificate of conformity of the vehicle with the requirements of the technical regulations. </w:t>
            </w:r>
          </w:p>
          <w:p w14:paraId="6502ADE0" w14:textId="77777777" w:rsidR="00AC7C4F" w:rsidRPr="0052564E" w:rsidRDefault="00AC7C4F" w:rsidP="00CF2395">
            <w:pPr>
              <w:jc w:val="both"/>
              <w:rPr>
                <w:rFonts w:ascii="Times New Roman" w:eastAsia="Calibri" w:hAnsi="Times New Roman" w:cs="Times New Roman"/>
                <w:lang w:val="en"/>
              </w:rPr>
            </w:pPr>
            <w:r w:rsidRPr="00CD14B5">
              <w:rPr>
                <w:rFonts w:ascii="Times New Roman" w:eastAsia="Calibri" w:hAnsi="Times New Roman" w:cs="Times New Roman"/>
                <w:lang w:val="en"/>
              </w:rPr>
              <w:t>5.6. The vehicle shall not be pledged, under arrest or another encumbrance.</w:t>
            </w:r>
          </w:p>
        </w:tc>
      </w:tr>
      <w:tr w:rsidR="00AC7C4F" w14:paraId="71AF3A15"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3F63CD14"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6.</w:t>
            </w:r>
          </w:p>
        </w:tc>
        <w:tc>
          <w:tcPr>
            <w:tcW w:w="3150" w:type="dxa"/>
            <w:tcBorders>
              <w:top w:val="single" w:sz="4" w:space="0" w:color="auto"/>
              <w:left w:val="single" w:sz="4" w:space="0" w:color="auto"/>
              <w:bottom w:val="single" w:sz="4" w:space="0" w:color="auto"/>
              <w:right w:val="single" w:sz="4" w:space="0" w:color="auto"/>
            </w:tcBorders>
            <w:hideMark/>
          </w:tcPr>
          <w:p w14:paraId="72BF44EA"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Technical specifications</w:t>
            </w:r>
          </w:p>
        </w:tc>
        <w:tc>
          <w:tcPr>
            <w:tcW w:w="6750" w:type="dxa"/>
            <w:tcBorders>
              <w:top w:val="single" w:sz="4" w:space="0" w:color="auto"/>
              <w:left w:val="single" w:sz="4" w:space="0" w:color="auto"/>
              <w:bottom w:val="single" w:sz="4" w:space="0" w:color="auto"/>
              <w:right w:val="single" w:sz="4" w:space="0" w:color="auto"/>
            </w:tcBorders>
          </w:tcPr>
          <w:p w14:paraId="2EC3BE3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6.1. Configuration: Comfort+, Luxury. </w:t>
            </w:r>
          </w:p>
          <w:p w14:paraId="26662678"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6.2. Mileage: not more than 20 km. </w:t>
            </w:r>
          </w:p>
          <w:p w14:paraId="37DE8A2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6.3. Fuel tank capacity: at least 50 liters.</w:t>
            </w:r>
          </w:p>
          <w:p w14:paraId="6F67F69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6.4. Number of seats: 5. </w:t>
            </w:r>
          </w:p>
          <w:p w14:paraId="026B6CE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6.5. Number of doors: 5. </w:t>
            </w:r>
          </w:p>
          <w:p w14:paraId="6E3C906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6.6. Engine: Turbocharged gasoline engine.</w:t>
            </w:r>
          </w:p>
          <w:p w14:paraId="247DE1F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6.6.1. Fuel: AI-95 gasoline (Environmental standard: Euro 5). </w:t>
            </w:r>
          </w:p>
          <w:p w14:paraId="0C52CA6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6.6.2. Volume: not more than 2,400 cm3, turbocharged. </w:t>
            </w:r>
          </w:p>
          <w:p w14:paraId="5F2A9233"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6.6.3. Power: not less than 280 hp. </w:t>
            </w:r>
          </w:p>
          <w:p w14:paraId="7F3799B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6.6.4. Turbine availability: yes. </w:t>
            </w:r>
          </w:p>
          <w:p w14:paraId="131231D2"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6.7. Transmission: automatic.  </w:t>
            </w:r>
          </w:p>
          <w:p w14:paraId="3C0DFB76"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6.8. Drive: all-wheel drive (4×4). </w:t>
            </w:r>
          </w:p>
          <w:p w14:paraId="7F74C43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6.9. Additional information: </w:t>
            </w:r>
          </w:p>
          <w:p w14:paraId="3D9876D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6.9.1. Color: white or black. </w:t>
            </w:r>
          </w:p>
          <w:p w14:paraId="1D137EC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6.9.2. Active and passive safety systems. </w:t>
            </w:r>
          </w:p>
          <w:p w14:paraId="0FF46BD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6.9.3. Tool kit and jack.</w:t>
            </w:r>
          </w:p>
          <w:p w14:paraId="2EDB04FB"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6.9.4. Emergency stop sign.</w:t>
            </w:r>
          </w:p>
          <w:p w14:paraId="235AE927" w14:textId="77777777" w:rsidR="00AC7C4F" w:rsidRPr="0052564E" w:rsidRDefault="00AC7C4F" w:rsidP="00CF2395">
            <w:pPr>
              <w:jc w:val="both"/>
              <w:rPr>
                <w:rFonts w:ascii="Times New Roman" w:eastAsia="Calibri" w:hAnsi="Times New Roman" w:cs="Times New Roman"/>
                <w:lang w:val="en"/>
              </w:rPr>
            </w:pPr>
            <w:r w:rsidRPr="00CD14B5">
              <w:rPr>
                <w:rFonts w:ascii="Times New Roman" w:eastAsia="Calibri" w:hAnsi="Times New Roman" w:cs="Times New Roman"/>
                <w:lang w:val="en"/>
              </w:rPr>
              <w:t xml:space="preserve">6.5.5. Adaptation </w:t>
            </w:r>
            <w:proofErr w:type="gramStart"/>
            <w:r w:rsidRPr="00CD14B5">
              <w:rPr>
                <w:rFonts w:ascii="Times New Roman" w:eastAsia="Calibri" w:hAnsi="Times New Roman" w:cs="Times New Roman"/>
                <w:lang w:val="en"/>
              </w:rPr>
              <w:t>for</w:t>
            </w:r>
            <w:proofErr w:type="gramEnd"/>
            <w:r w:rsidRPr="00CD14B5">
              <w:rPr>
                <w:rFonts w:ascii="Times New Roman" w:eastAsia="Calibri" w:hAnsi="Times New Roman" w:cs="Times New Roman"/>
                <w:lang w:val="en"/>
              </w:rPr>
              <w:t xml:space="preserve"> operation in high-altitude and cold-climate conditions. </w:t>
            </w:r>
          </w:p>
        </w:tc>
      </w:tr>
      <w:tr w:rsidR="00AC7C4F" w14:paraId="4C77FDDC"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6A542B51"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7.</w:t>
            </w:r>
          </w:p>
        </w:tc>
        <w:tc>
          <w:tcPr>
            <w:tcW w:w="3150" w:type="dxa"/>
            <w:tcBorders>
              <w:top w:val="single" w:sz="4" w:space="0" w:color="auto"/>
              <w:left w:val="single" w:sz="4" w:space="0" w:color="auto"/>
              <w:bottom w:val="single" w:sz="4" w:space="0" w:color="auto"/>
              <w:right w:val="single" w:sz="4" w:space="0" w:color="auto"/>
            </w:tcBorders>
          </w:tcPr>
          <w:p w14:paraId="3A0EADA6"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Vehicle configuration, equipment, and accessories.</w:t>
            </w:r>
          </w:p>
          <w:p w14:paraId="6028905F" w14:textId="77777777" w:rsidR="00AC7C4F" w:rsidRPr="00BC15B4" w:rsidRDefault="00AC7C4F" w:rsidP="00CF2395">
            <w:pPr>
              <w:jc w:val="both"/>
              <w:rPr>
                <w:rFonts w:ascii="Times New Roman" w:eastAsia="Calibri" w:hAnsi="Times New Roman" w:cs="Times New Roman"/>
              </w:rPr>
            </w:pPr>
          </w:p>
          <w:p w14:paraId="0F3768E7" w14:textId="77777777" w:rsidR="00AC7C4F" w:rsidRPr="00BC15B4" w:rsidRDefault="00AC7C4F" w:rsidP="00CF2395">
            <w:pPr>
              <w:jc w:val="both"/>
              <w:rPr>
                <w:rFonts w:ascii="Times New Roman" w:eastAsia="Calibri" w:hAnsi="Times New Roman" w:cs="Times New Roman"/>
              </w:rPr>
            </w:pPr>
          </w:p>
          <w:p w14:paraId="5BC017F8" w14:textId="77777777" w:rsidR="00AC7C4F" w:rsidRPr="00BC15B4" w:rsidRDefault="00AC7C4F" w:rsidP="00CF2395">
            <w:pPr>
              <w:jc w:val="both"/>
              <w:rPr>
                <w:rFonts w:ascii="Times New Roman" w:eastAsia="Calibri" w:hAnsi="Times New Roman" w:cs="Times New Roman"/>
              </w:rPr>
            </w:pPr>
          </w:p>
          <w:p w14:paraId="73646BD1" w14:textId="77777777" w:rsidR="00AC7C4F" w:rsidRPr="00BC15B4" w:rsidRDefault="00AC7C4F" w:rsidP="00CF2395">
            <w:pPr>
              <w:jc w:val="both"/>
              <w:rPr>
                <w:rFonts w:ascii="Times New Roman" w:eastAsia="Calibri" w:hAnsi="Times New Roman" w:cs="Times New Roman"/>
              </w:rPr>
            </w:pPr>
          </w:p>
          <w:p w14:paraId="6E893240" w14:textId="77777777" w:rsidR="00AC7C4F" w:rsidRPr="00BC15B4" w:rsidRDefault="00AC7C4F" w:rsidP="00CF2395">
            <w:pPr>
              <w:jc w:val="both"/>
              <w:rPr>
                <w:rFonts w:ascii="Times New Roman" w:eastAsia="Calibri" w:hAnsi="Times New Roman" w:cs="Times New Roman"/>
              </w:rPr>
            </w:pPr>
          </w:p>
          <w:p w14:paraId="2059AEDF" w14:textId="77777777" w:rsidR="00AC7C4F" w:rsidRPr="00BC15B4" w:rsidRDefault="00AC7C4F" w:rsidP="00CF2395">
            <w:pPr>
              <w:jc w:val="both"/>
              <w:rPr>
                <w:rFonts w:ascii="Times New Roman" w:eastAsia="Calibri" w:hAnsi="Times New Roman" w:cs="Times New Roman"/>
              </w:rPr>
            </w:pPr>
          </w:p>
          <w:p w14:paraId="2B9670F6" w14:textId="77777777" w:rsidR="00AC7C4F" w:rsidRPr="00BC15B4" w:rsidRDefault="00AC7C4F" w:rsidP="00CF2395">
            <w:pPr>
              <w:jc w:val="both"/>
              <w:rPr>
                <w:rFonts w:ascii="Times New Roman" w:eastAsia="Calibri" w:hAnsi="Times New Roman" w:cs="Times New Roman"/>
              </w:rPr>
            </w:pPr>
          </w:p>
        </w:tc>
        <w:tc>
          <w:tcPr>
            <w:tcW w:w="6750" w:type="dxa"/>
            <w:tcBorders>
              <w:top w:val="single" w:sz="4" w:space="0" w:color="auto"/>
              <w:left w:val="single" w:sz="4" w:space="0" w:color="auto"/>
              <w:bottom w:val="single" w:sz="4" w:space="0" w:color="auto"/>
              <w:right w:val="single" w:sz="4" w:space="0" w:color="auto"/>
            </w:tcBorders>
          </w:tcPr>
          <w:p w14:paraId="45785FF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lastRenderedPageBreak/>
              <w:t xml:space="preserve">Configuration shall include: </w:t>
            </w:r>
          </w:p>
          <w:p w14:paraId="36055A7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LED headlights (low and high beam) and rear lights with automatic tilt angle adjustment. </w:t>
            </w:r>
          </w:p>
          <w:p w14:paraId="066C971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Front and rear mudguards. </w:t>
            </w:r>
          </w:p>
          <w:p w14:paraId="0EED43F8"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Full-size spare wheel. </w:t>
            </w:r>
          </w:p>
          <w:p w14:paraId="3F55492D"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Headlight washer. </w:t>
            </w:r>
          </w:p>
          <w:p w14:paraId="45E51325"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Side rear-view mirrors with electric adjustment, power folding, heating, and memory function. </w:t>
            </w:r>
          </w:p>
          <w:p w14:paraId="001C5D7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lastRenderedPageBreak/>
              <w:t xml:space="preserve">- Full-surface electric heated windshield. </w:t>
            </w:r>
          </w:p>
          <w:p w14:paraId="5B397A36"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Heated wiper nozzles. </w:t>
            </w:r>
          </w:p>
          <w:p w14:paraId="4712525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Sunroof. </w:t>
            </w:r>
          </w:p>
          <w:p w14:paraId="24EEC5D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Power-operated tailgate. </w:t>
            </w:r>
          </w:p>
          <w:p w14:paraId="77281C25"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 Bluetooth communication system. </w:t>
            </w:r>
          </w:p>
          <w:p w14:paraId="58CCB83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Multimedia display with wireless Apple Car Play support.</w:t>
            </w:r>
          </w:p>
          <w:p w14:paraId="40C505A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Panoramic view camera.</w:t>
            </w:r>
          </w:p>
          <w:p w14:paraId="6176BD6B"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Head-up display (HUD). </w:t>
            </w:r>
          </w:p>
          <w:p w14:paraId="234DA556"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Wireless charger. </w:t>
            </w:r>
          </w:p>
          <w:p w14:paraId="74CCAA8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USB ports.</w:t>
            </w:r>
          </w:p>
          <w:p w14:paraId="6AB81360" w14:textId="77777777" w:rsidR="00AC7C4F" w:rsidRPr="00BC15B4" w:rsidRDefault="00AC7C4F" w:rsidP="00CF2395">
            <w:pPr>
              <w:jc w:val="both"/>
              <w:rPr>
                <w:rFonts w:ascii="Times New Roman" w:eastAsia="Calibri" w:hAnsi="Times New Roman" w:cs="Times New Roman"/>
                <w:b/>
                <w:bCs/>
              </w:rPr>
            </w:pPr>
            <w:r w:rsidRPr="00CD14B5">
              <w:rPr>
                <w:rFonts w:ascii="Times New Roman" w:eastAsia="Calibri" w:hAnsi="Times New Roman" w:cs="Times New Roman"/>
                <w:lang w:val="en"/>
              </w:rPr>
              <w:t>- HDMI port</w:t>
            </w:r>
            <w:r w:rsidRPr="00CD14B5">
              <w:rPr>
                <w:rFonts w:ascii="Times New Roman" w:eastAsia="Calibri" w:hAnsi="Times New Roman" w:cs="Times New Roman"/>
                <w:b/>
                <w:bCs/>
                <w:lang w:val="en"/>
              </w:rPr>
              <w:t>.</w:t>
            </w:r>
          </w:p>
          <w:p w14:paraId="32CC4B9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Airbags: front, front side, side shutters, and driver’s knee airbags. </w:t>
            </w:r>
          </w:p>
          <w:p w14:paraId="627C305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Rear parking assist system with visual and audible alerts. </w:t>
            </w:r>
          </w:p>
          <w:p w14:paraId="5157C06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Immobilizer and central locking system with remote control. </w:t>
            </w:r>
          </w:p>
          <w:p w14:paraId="2E7C920C"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Front and rear parking sensors with object, vehicle, and pedestrian detection function.</w:t>
            </w:r>
          </w:p>
          <w:p w14:paraId="7BFBA86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Blind spot monitoring system. </w:t>
            </w:r>
          </w:p>
          <w:p w14:paraId="007873A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Automatic high-beam to low-beam switching system with glare-free function for oncoming vehicles. </w:t>
            </w:r>
          </w:p>
          <w:p w14:paraId="27F9877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Forward collision warning system with automatic emergency braking. </w:t>
            </w:r>
          </w:p>
          <w:p w14:paraId="2ACDAF41" w14:textId="77777777" w:rsidR="00AC7C4F" w:rsidRPr="00BC15B4" w:rsidRDefault="00AC7C4F" w:rsidP="00CF2395">
            <w:pPr>
              <w:jc w:val="both"/>
              <w:rPr>
                <w:rFonts w:ascii="Times New Roman" w:eastAsia="Calibri" w:hAnsi="Times New Roman" w:cs="Times New Roman"/>
              </w:rPr>
            </w:pPr>
            <w:r>
              <w:rPr>
                <w:rFonts w:ascii="Times New Roman" w:eastAsia="Calibri" w:hAnsi="Times New Roman" w:cs="Times New Roman"/>
              </w:rPr>
              <w:t xml:space="preserve">- </w:t>
            </w:r>
            <w:r w:rsidRPr="00CD14B5">
              <w:rPr>
                <w:rFonts w:ascii="Times New Roman" w:eastAsia="Calibri" w:hAnsi="Times New Roman" w:cs="Times New Roman"/>
                <w:lang w:val="en"/>
              </w:rPr>
              <w:t>Adaptive cruise control with function to maintain a safe distance from the vehicle in front.</w:t>
            </w:r>
          </w:p>
          <w:p w14:paraId="2FC90E3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Driver fatigue monitoring and alert system. </w:t>
            </w:r>
          </w:p>
          <w:p w14:paraId="4F34368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Lane keeping assist system with automatic stop function and steering touch sensor. </w:t>
            </w:r>
          </w:p>
          <w:p w14:paraId="211BCA1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Unintentional lane departure alert system. </w:t>
            </w:r>
          </w:p>
          <w:p w14:paraId="4225BB9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Light sensor. </w:t>
            </w:r>
          </w:p>
          <w:p w14:paraId="3C9954E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- 12 V socket.</w:t>
            </w:r>
          </w:p>
          <w:p w14:paraId="615B411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LED door lighting. </w:t>
            </w:r>
          </w:p>
          <w:p w14:paraId="04DBFB8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Tire pressure monitoring system. </w:t>
            </w:r>
          </w:p>
          <w:p w14:paraId="064D0F1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Electronic parking brake. </w:t>
            </w:r>
          </w:p>
          <w:p w14:paraId="554781F2"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Smart Entry intelligent vehicle access system with Push Start engine button. </w:t>
            </w:r>
          </w:p>
          <w:p w14:paraId="33511667" w14:textId="77777777" w:rsidR="00AC7C4F" w:rsidRPr="00BC15B4" w:rsidRDefault="00AC7C4F" w:rsidP="00CF2395">
            <w:pPr>
              <w:jc w:val="both"/>
              <w:rPr>
                <w:rFonts w:ascii="Times New Roman" w:eastAsia="Calibri" w:hAnsi="Times New Roman" w:cs="Times New Roman"/>
              </w:rPr>
            </w:pPr>
            <w:r>
              <w:rPr>
                <w:rFonts w:ascii="Times New Roman" w:eastAsia="Calibri" w:hAnsi="Times New Roman" w:cs="Times New Roman"/>
                <w:lang w:val="en"/>
              </w:rPr>
              <w:t xml:space="preserve">- </w:t>
            </w:r>
            <w:r w:rsidRPr="00CD14B5">
              <w:rPr>
                <w:rFonts w:ascii="Times New Roman" w:eastAsia="Calibri" w:hAnsi="Times New Roman" w:cs="Times New Roman"/>
                <w:lang w:val="en"/>
              </w:rPr>
              <w:t>Digital interior rear-view mirror.</w:t>
            </w:r>
          </w:p>
          <w:p w14:paraId="48D5401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Leather seat upholstery. </w:t>
            </w:r>
          </w:p>
          <w:p w14:paraId="38078D1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Cup holders. </w:t>
            </w:r>
          </w:p>
          <w:p w14:paraId="14BB8432"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Leather-trimmed dashboard. </w:t>
            </w:r>
          </w:p>
          <w:p w14:paraId="78CB1C6C"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Leather-trimmed gear shift lever. </w:t>
            </w:r>
          </w:p>
          <w:p w14:paraId="230E462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Heated front seats. </w:t>
            </w:r>
          </w:p>
          <w:p w14:paraId="75A64E2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Heated second-row seats. </w:t>
            </w:r>
          </w:p>
          <w:p w14:paraId="08116EBD"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Front seat ventilation. </w:t>
            </w:r>
          </w:p>
          <w:p w14:paraId="1FD1F53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Second-row seat ventilation. </w:t>
            </w:r>
          </w:p>
          <w:p w14:paraId="54BA284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Power-adjustable front seats (driver and passenger). </w:t>
            </w:r>
          </w:p>
          <w:p w14:paraId="04A84D6B"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Driver’s seat memory function. </w:t>
            </w:r>
          </w:p>
          <w:p w14:paraId="47AEADA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Multifunctional heated leather steering wheel. </w:t>
            </w:r>
          </w:p>
          <w:p w14:paraId="1347D65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Power-adjustable steering column (tilt and telescopic adjustment). </w:t>
            </w:r>
          </w:p>
          <w:p w14:paraId="45F60A0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Dual-zone climate control. </w:t>
            </w:r>
          </w:p>
          <w:p w14:paraId="0AEB0975"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Additional air conditioner for the second-row seats. </w:t>
            </w:r>
          </w:p>
          <w:p w14:paraId="75D6845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Rain sensor. </w:t>
            </w:r>
          </w:p>
          <w:p w14:paraId="41A0490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Refrigerated compartment. </w:t>
            </w:r>
          </w:p>
          <w:p w14:paraId="3D1EBE1A"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Power-folding third-row seats. </w:t>
            </w:r>
          </w:p>
          <w:p w14:paraId="5F6FD17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Anti-lock brake system (ABS). </w:t>
            </w:r>
          </w:p>
          <w:p w14:paraId="5FC4DE1C"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Stability control system. </w:t>
            </w:r>
          </w:p>
          <w:p w14:paraId="1E89C45F"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Active traction control system. </w:t>
            </w:r>
          </w:p>
          <w:p w14:paraId="263F2F1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Hill start assist system.</w:t>
            </w:r>
          </w:p>
          <w:p w14:paraId="60FDDF71"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 Emergency braking booster. </w:t>
            </w:r>
          </w:p>
          <w:p w14:paraId="0671CF5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lastRenderedPageBreak/>
              <w:t>- Motion mode selection system.</w:t>
            </w:r>
          </w:p>
          <w:p w14:paraId="572BF58D" w14:textId="77777777" w:rsidR="00AC7C4F" w:rsidRPr="0052564E" w:rsidRDefault="00AC7C4F" w:rsidP="00CF2395">
            <w:pPr>
              <w:jc w:val="both"/>
              <w:rPr>
                <w:rFonts w:ascii="Times New Roman" w:eastAsia="Calibri" w:hAnsi="Times New Roman" w:cs="Times New Roman"/>
                <w:lang w:val="en"/>
              </w:rPr>
            </w:pPr>
            <w:r w:rsidRPr="00CD14B5">
              <w:rPr>
                <w:rFonts w:ascii="Times New Roman" w:eastAsia="Calibri" w:hAnsi="Times New Roman" w:cs="Times New Roman"/>
                <w:lang w:val="en"/>
              </w:rPr>
              <w:t>- Hill descent assist system.</w:t>
            </w:r>
          </w:p>
        </w:tc>
      </w:tr>
      <w:tr w:rsidR="00AC7C4F" w14:paraId="7DC7B89D"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3252C062"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lastRenderedPageBreak/>
              <w:t>8.</w:t>
            </w:r>
          </w:p>
        </w:tc>
        <w:tc>
          <w:tcPr>
            <w:tcW w:w="3150" w:type="dxa"/>
            <w:tcBorders>
              <w:top w:val="single" w:sz="4" w:space="0" w:color="auto"/>
              <w:left w:val="single" w:sz="4" w:space="0" w:color="auto"/>
              <w:bottom w:val="single" w:sz="4" w:space="0" w:color="auto"/>
              <w:right w:val="single" w:sz="4" w:space="0" w:color="auto"/>
            </w:tcBorders>
            <w:hideMark/>
          </w:tcPr>
          <w:p w14:paraId="2BAB32D0"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 xml:space="preserve">Operating requirements </w:t>
            </w:r>
          </w:p>
        </w:tc>
        <w:tc>
          <w:tcPr>
            <w:tcW w:w="6750" w:type="dxa"/>
            <w:tcBorders>
              <w:top w:val="single" w:sz="4" w:space="0" w:color="auto"/>
              <w:left w:val="single" w:sz="4" w:space="0" w:color="auto"/>
              <w:bottom w:val="single" w:sz="4" w:space="0" w:color="auto"/>
              <w:right w:val="single" w:sz="4" w:space="0" w:color="auto"/>
            </w:tcBorders>
            <w:hideMark/>
          </w:tcPr>
          <w:p w14:paraId="61C92CC7"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The vehicle shall be equipped with a winter package to ensure normal operation in climatic conditions with ambient temperatures ranging from -40</w:t>
            </w:r>
            <w:r>
              <w:rPr>
                <w:rFonts w:ascii="Times New Roman" w:eastAsia="Calibri" w:hAnsi="Times New Roman" w:cs="Times New Roman"/>
                <w:lang w:val="en"/>
              </w:rPr>
              <w:t xml:space="preserve"> </w:t>
            </w:r>
            <w:r w:rsidRPr="00CD14B5">
              <w:rPr>
                <w:rFonts w:ascii="Times New Roman" w:eastAsia="Calibri" w:hAnsi="Times New Roman" w:cs="Times New Roman"/>
                <w:vertAlign w:val="superscript"/>
                <w:lang w:val="en"/>
              </w:rPr>
              <w:t>°</w:t>
            </w:r>
            <w:r w:rsidRPr="00CD14B5">
              <w:rPr>
                <w:rFonts w:ascii="Times New Roman" w:eastAsia="Calibri" w:hAnsi="Times New Roman" w:cs="Times New Roman"/>
                <w:lang w:val="en"/>
              </w:rPr>
              <w:t>C to +45</w:t>
            </w:r>
            <w:r>
              <w:rPr>
                <w:rFonts w:ascii="Times New Roman" w:eastAsia="Calibri" w:hAnsi="Times New Roman" w:cs="Times New Roman"/>
                <w:lang w:val="en"/>
              </w:rPr>
              <w:t xml:space="preserve"> </w:t>
            </w:r>
            <w:r w:rsidRPr="00CD14B5">
              <w:rPr>
                <w:rFonts w:ascii="Times New Roman" w:eastAsia="Calibri" w:hAnsi="Times New Roman" w:cs="Times New Roman"/>
                <w:vertAlign w:val="superscript"/>
                <w:lang w:val="en"/>
              </w:rPr>
              <w:t>°</w:t>
            </w:r>
            <w:r w:rsidRPr="00CD14B5">
              <w:rPr>
                <w:rFonts w:ascii="Times New Roman" w:eastAsia="Calibri" w:hAnsi="Times New Roman" w:cs="Times New Roman"/>
                <w:lang w:val="en"/>
              </w:rPr>
              <w:t xml:space="preserve">C. </w:t>
            </w:r>
          </w:p>
        </w:tc>
      </w:tr>
      <w:tr w:rsidR="00AC7C4F" w14:paraId="74FB348F" w14:textId="77777777" w:rsidTr="00CF2395">
        <w:tc>
          <w:tcPr>
            <w:tcW w:w="810" w:type="dxa"/>
            <w:tcBorders>
              <w:top w:val="single" w:sz="4" w:space="0" w:color="auto"/>
              <w:left w:val="single" w:sz="4" w:space="0" w:color="auto"/>
              <w:bottom w:val="single" w:sz="4" w:space="0" w:color="auto"/>
              <w:right w:val="single" w:sz="4" w:space="0" w:color="auto"/>
            </w:tcBorders>
          </w:tcPr>
          <w:p w14:paraId="72025592"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9.</w:t>
            </w:r>
          </w:p>
        </w:tc>
        <w:tc>
          <w:tcPr>
            <w:tcW w:w="3150" w:type="dxa"/>
            <w:tcBorders>
              <w:top w:val="single" w:sz="4" w:space="0" w:color="auto"/>
              <w:left w:val="single" w:sz="4" w:space="0" w:color="auto"/>
              <w:bottom w:val="single" w:sz="4" w:space="0" w:color="auto"/>
              <w:right w:val="single" w:sz="4" w:space="0" w:color="auto"/>
            </w:tcBorders>
          </w:tcPr>
          <w:p w14:paraId="5E99A9AA"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Payment and delivery terms</w:t>
            </w:r>
          </w:p>
        </w:tc>
        <w:tc>
          <w:tcPr>
            <w:tcW w:w="6750" w:type="dxa"/>
            <w:tcBorders>
              <w:top w:val="single" w:sz="4" w:space="0" w:color="auto"/>
              <w:left w:val="single" w:sz="4" w:space="0" w:color="auto"/>
              <w:bottom w:val="single" w:sz="4" w:space="0" w:color="auto"/>
              <w:right w:val="single" w:sz="4" w:space="0" w:color="auto"/>
            </w:tcBorders>
          </w:tcPr>
          <w:p w14:paraId="480EC0B0"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9.1. Payment terms: as agreed with the Client. </w:t>
            </w:r>
          </w:p>
          <w:p w14:paraId="79030949"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9.2. The Supplier shall deliver the vehicle to Bishkek within the deadlines specified by the Client. </w:t>
            </w:r>
          </w:p>
          <w:p w14:paraId="04881E33"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9.3. Service center for warranty and post-warranty maintenance shall be available. </w:t>
            </w:r>
          </w:p>
        </w:tc>
      </w:tr>
      <w:tr w:rsidR="00AC7C4F" w14:paraId="290E32C1"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641C4E54"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10.</w:t>
            </w:r>
          </w:p>
        </w:tc>
        <w:tc>
          <w:tcPr>
            <w:tcW w:w="3150" w:type="dxa"/>
            <w:tcBorders>
              <w:top w:val="single" w:sz="4" w:space="0" w:color="auto"/>
              <w:left w:val="single" w:sz="4" w:space="0" w:color="auto"/>
              <w:bottom w:val="single" w:sz="4" w:space="0" w:color="auto"/>
              <w:right w:val="single" w:sz="4" w:space="0" w:color="auto"/>
            </w:tcBorders>
            <w:hideMark/>
          </w:tcPr>
          <w:p w14:paraId="2CF5DA70" w14:textId="77777777" w:rsidR="00AC7C4F" w:rsidRPr="00BC15B4" w:rsidRDefault="00AC7C4F" w:rsidP="00CF2395">
            <w:pPr>
              <w:rPr>
                <w:rFonts w:ascii="Times New Roman" w:eastAsia="Calibri" w:hAnsi="Times New Roman" w:cs="Times New Roman"/>
              </w:rPr>
            </w:pPr>
            <w:r w:rsidRPr="00CD14B5">
              <w:rPr>
                <w:rFonts w:ascii="Times New Roman" w:eastAsia="Calibri" w:hAnsi="Times New Roman" w:cs="Times New Roman"/>
                <w:lang w:val="en"/>
              </w:rPr>
              <w:t>Vehicle acceptance procedure and personnel training</w:t>
            </w:r>
          </w:p>
        </w:tc>
        <w:tc>
          <w:tcPr>
            <w:tcW w:w="6750" w:type="dxa"/>
            <w:tcBorders>
              <w:top w:val="single" w:sz="4" w:space="0" w:color="auto"/>
              <w:left w:val="single" w:sz="4" w:space="0" w:color="auto"/>
              <w:bottom w:val="single" w:sz="4" w:space="0" w:color="auto"/>
              <w:right w:val="single" w:sz="4" w:space="0" w:color="auto"/>
            </w:tcBorders>
            <w:hideMark/>
          </w:tcPr>
          <w:p w14:paraId="6EC9C012"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10.1. The vehicle shall be accepted at the Client's premises in the presence of the Supplier's responsible person. </w:t>
            </w:r>
          </w:p>
          <w:p w14:paraId="4CDA5405"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The vehicle shall be accepted by signing the Commissioning Acceptance Certificate. </w:t>
            </w:r>
          </w:p>
          <w:p w14:paraId="6ED629CB"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10.2. The vehicle shall be supplied with operation manual (service book). </w:t>
            </w:r>
          </w:p>
        </w:tc>
      </w:tr>
      <w:tr w:rsidR="00AC7C4F" w14:paraId="58432061"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20BDE012"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11.</w:t>
            </w:r>
          </w:p>
        </w:tc>
        <w:tc>
          <w:tcPr>
            <w:tcW w:w="3150" w:type="dxa"/>
            <w:tcBorders>
              <w:top w:val="single" w:sz="4" w:space="0" w:color="auto"/>
              <w:left w:val="single" w:sz="4" w:space="0" w:color="auto"/>
              <w:bottom w:val="single" w:sz="4" w:space="0" w:color="auto"/>
              <w:right w:val="single" w:sz="4" w:space="0" w:color="auto"/>
            </w:tcBorders>
            <w:hideMark/>
          </w:tcPr>
          <w:p w14:paraId="2F49D0BB"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Vehicle warranty period</w:t>
            </w:r>
          </w:p>
        </w:tc>
        <w:tc>
          <w:tcPr>
            <w:tcW w:w="6750" w:type="dxa"/>
            <w:tcBorders>
              <w:top w:val="single" w:sz="4" w:space="0" w:color="auto"/>
              <w:left w:val="single" w:sz="4" w:space="0" w:color="auto"/>
              <w:bottom w:val="single" w:sz="4" w:space="0" w:color="auto"/>
              <w:right w:val="single" w:sz="4" w:space="0" w:color="auto"/>
            </w:tcBorders>
            <w:hideMark/>
          </w:tcPr>
          <w:p w14:paraId="3DD966A2"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The vehicle warranty period shall be no less than 12 months from the date of commissioning or 100,000 km of mileage, whichever occurs first.</w:t>
            </w:r>
          </w:p>
        </w:tc>
      </w:tr>
      <w:tr w:rsidR="00AC7C4F" w14:paraId="59CC0A07" w14:textId="77777777" w:rsidTr="00CF2395">
        <w:tc>
          <w:tcPr>
            <w:tcW w:w="810" w:type="dxa"/>
            <w:tcBorders>
              <w:top w:val="single" w:sz="4" w:space="0" w:color="auto"/>
              <w:left w:val="single" w:sz="4" w:space="0" w:color="auto"/>
              <w:bottom w:val="single" w:sz="4" w:space="0" w:color="auto"/>
              <w:right w:val="single" w:sz="4" w:space="0" w:color="auto"/>
            </w:tcBorders>
          </w:tcPr>
          <w:p w14:paraId="223E06AD"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12.</w:t>
            </w:r>
          </w:p>
        </w:tc>
        <w:tc>
          <w:tcPr>
            <w:tcW w:w="3150" w:type="dxa"/>
            <w:tcBorders>
              <w:top w:val="single" w:sz="4" w:space="0" w:color="auto"/>
              <w:left w:val="single" w:sz="4" w:space="0" w:color="auto"/>
              <w:bottom w:val="single" w:sz="4" w:space="0" w:color="auto"/>
              <w:right w:val="single" w:sz="4" w:space="0" w:color="auto"/>
            </w:tcBorders>
          </w:tcPr>
          <w:p w14:paraId="4092E1BB"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 xml:space="preserve">Quality evaluation criteria </w:t>
            </w:r>
          </w:p>
        </w:tc>
        <w:tc>
          <w:tcPr>
            <w:tcW w:w="6750" w:type="dxa"/>
            <w:tcBorders>
              <w:top w:val="single" w:sz="4" w:space="0" w:color="auto"/>
              <w:left w:val="single" w:sz="4" w:space="0" w:color="auto"/>
              <w:bottom w:val="single" w:sz="4" w:space="0" w:color="auto"/>
              <w:right w:val="single" w:sz="4" w:space="0" w:color="auto"/>
            </w:tcBorders>
          </w:tcPr>
          <w:p w14:paraId="5DEA9654"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12.1. After commissioning, the vehicle shall be evaluated during the warranty period. Evaluation results shall comply with the manufacturer's specifications. </w:t>
            </w:r>
          </w:p>
          <w:p w14:paraId="0B95F4BA"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12.2. In the event of non-compliance with KGC requirements, the Supplier shall bear all costs for its elimination. </w:t>
            </w:r>
          </w:p>
          <w:p w14:paraId="12DA3FBE"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12.3. The vehicle shall comply with the safety requirements established by the applicable laws of the Kyrgyz Republic/EAEU. </w:t>
            </w:r>
          </w:p>
        </w:tc>
      </w:tr>
      <w:tr w:rsidR="00AC7C4F" w14:paraId="564C0C43" w14:textId="77777777" w:rsidTr="00CF2395">
        <w:tc>
          <w:tcPr>
            <w:tcW w:w="810" w:type="dxa"/>
            <w:tcBorders>
              <w:top w:val="single" w:sz="4" w:space="0" w:color="auto"/>
              <w:left w:val="single" w:sz="4" w:space="0" w:color="auto"/>
              <w:bottom w:val="single" w:sz="4" w:space="0" w:color="auto"/>
              <w:right w:val="single" w:sz="4" w:space="0" w:color="auto"/>
            </w:tcBorders>
            <w:hideMark/>
          </w:tcPr>
          <w:p w14:paraId="03A99C9E"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13.</w:t>
            </w:r>
          </w:p>
        </w:tc>
        <w:tc>
          <w:tcPr>
            <w:tcW w:w="3150" w:type="dxa"/>
            <w:tcBorders>
              <w:top w:val="single" w:sz="4" w:space="0" w:color="auto"/>
              <w:left w:val="single" w:sz="4" w:space="0" w:color="auto"/>
              <w:bottom w:val="single" w:sz="4" w:space="0" w:color="auto"/>
              <w:right w:val="single" w:sz="4" w:space="0" w:color="auto"/>
            </w:tcBorders>
            <w:hideMark/>
          </w:tcPr>
          <w:p w14:paraId="1CEA065C"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 xml:space="preserve">Documentation requirement </w:t>
            </w:r>
          </w:p>
        </w:tc>
        <w:tc>
          <w:tcPr>
            <w:tcW w:w="6750" w:type="dxa"/>
            <w:tcBorders>
              <w:top w:val="single" w:sz="4" w:space="0" w:color="auto"/>
              <w:left w:val="single" w:sz="4" w:space="0" w:color="auto"/>
              <w:bottom w:val="single" w:sz="4" w:space="0" w:color="auto"/>
              <w:right w:val="single" w:sz="4" w:space="0" w:color="auto"/>
            </w:tcBorders>
            <w:hideMark/>
          </w:tcPr>
          <w:p w14:paraId="5902AA4C" w14:textId="77777777" w:rsidR="00AC7C4F" w:rsidRPr="00CD14B5" w:rsidRDefault="00AC7C4F" w:rsidP="00CF2395">
            <w:pPr>
              <w:jc w:val="both"/>
              <w:rPr>
                <w:rFonts w:ascii="Times New Roman" w:eastAsia="Calibri" w:hAnsi="Times New Roman" w:cs="Times New Roman"/>
                <w:lang w:val="ru-RU"/>
              </w:rPr>
            </w:pPr>
            <w:r w:rsidRPr="00CD14B5">
              <w:rPr>
                <w:rFonts w:ascii="Times New Roman" w:eastAsia="Calibri" w:hAnsi="Times New Roman" w:cs="Times New Roman"/>
                <w:lang w:val="en"/>
              </w:rPr>
              <w:t>Complete set of documentation required for registering the vehicle with the State Center for Vehicle and Driver Personnel Registration, in accordance with the Resolution of the Government of the Kyrgyz Republic. Copies of cargo customs declarations. Warranty and service book, operation manual in Russian in both hard copy and electronic format. Spare parts catalog.</w:t>
            </w:r>
          </w:p>
        </w:tc>
      </w:tr>
      <w:tr w:rsidR="00AC7C4F" w14:paraId="0576FCB0" w14:textId="77777777" w:rsidTr="00CF2395">
        <w:tc>
          <w:tcPr>
            <w:tcW w:w="810" w:type="dxa"/>
            <w:tcBorders>
              <w:top w:val="single" w:sz="4" w:space="0" w:color="auto"/>
              <w:left w:val="single" w:sz="4" w:space="0" w:color="auto"/>
              <w:bottom w:val="single" w:sz="4" w:space="0" w:color="auto"/>
              <w:right w:val="single" w:sz="4" w:space="0" w:color="auto"/>
            </w:tcBorders>
          </w:tcPr>
          <w:p w14:paraId="3E7F3A56" w14:textId="77777777" w:rsidR="00AC7C4F" w:rsidRPr="00CD14B5" w:rsidRDefault="00AC7C4F" w:rsidP="00CF2395">
            <w:pPr>
              <w:jc w:val="center"/>
              <w:rPr>
                <w:rFonts w:ascii="Times New Roman" w:eastAsia="Calibri" w:hAnsi="Times New Roman" w:cs="Times New Roman"/>
                <w:lang w:val="ru-RU"/>
              </w:rPr>
            </w:pPr>
            <w:r w:rsidRPr="00CD14B5">
              <w:rPr>
                <w:rFonts w:ascii="Times New Roman" w:eastAsia="Calibri" w:hAnsi="Times New Roman" w:cs="Times New Roman"/>
                <w:lang w:val="en"/>
              </w:rPr>
              <w:t xml:space="preserve">14. </w:t>
            </w:r>
          </w:p>
        </w:tc>
        <w:tc>
          <w:tcPr>
            <w:tcW w:w="3150" w:type="dxa"/>
            <w:tcBorders>
              <w:top w:val="single" w:sz="4" w:space="0" w:color="auto"/>
              <w:left w:val="single" w:sz="4" w:space="0" w:color="auto"/>
              <w:bottom w:val="single" w:sz="4" w:space="0" w:color="auto"/>
              <w:right w:val="single" w:sz="4" w:space="0" w:color="auto"/>
            </w:tcBorders>
          </w:tcPr>
          <w:p w14:paraId="31EDC079" w14:textId="77777777" w:rsidR="00AC7C4F" w:rsidRPr="00CD14B5" w:rsidRDefault="00AC7C4F" w:rsidP="00CF2395">
            <w:pPr>
              <w:rPr>
                <w:rFonts w:ascii="Times New Roman" w:eastAsia="Calibri" w:hAnsi="Times New Roman" w:cs="Times New Roman"/>
                <w:lang w:val="ru-RU"/>
              </w:rPr>
            </w:pPr>
            <w:r w:rsidRPr="00CD14B5">
              <w:rPr>
                <w:rFonts w:ascii="Times New Roman" w:eastAsia="Calibri" w:hAnsi="Times New Roman" w:cs="Times New Roman"/>
                <w:lang w:val="en"/>
              </w:rPr>
              <w:t xml:space="preserve">Confidentiality </w:t>
            </w:r>
          </w:p>
        </w:tc>
        <w:tc>
          <w:tcPr>
            <w:tcW w:w="6750" w:type="dxa"/>
            <w:tcBorders>
              <w:top w:val="single" w:sz="4" w:space="0" w:color="auto"/>
              <w:left w:val="single" w:sz="4" w:space="0" w:color="auto"/>
              <w:bottom w:val="single" w:sz="4" w:space="0" w:color="auto"/>
              <w:right w:val="single" w:sz="4" w:space="0" w:color="auto"/>
            </w:tcBorders>
          </w:tcPr>
          <w:p w14:paraId="08FDA386" w14:textId="77777777" w:rsidR="00AC7C4F" w:rsidRPr="00BC15B4" w:rsidRDefault="00AC7C4F" w:rsidP="00CF2395">
            <w:pPr>
              <w:jc w:val="both"/>
              <w:rPr>
                <w:rFonts w:ascii="Times New Roman" w:eastAsia="Calibri" w:hAnsi="Times New Roman" w:cs="Times New Roman"/>
              </w:rPr>
            </w:pPr>
            <w:r w:rsidRPr="00CD14B5">
              <w:rPr>
                <w:rFonts w:ascii="Times New Roman" w:eastAsia="Calibri" w:hAnsi="Times New Roman" w:cs="Times New Roman"/>
                <w:lang w:val="en"/>
              </w:rPr>
              <w:t xml:space="preserve">Transaction data shall be confidential. Disclosure to third parties shall be prohibited. </w:t>
            </w:r>
          </w:p>
        </w:tc>
      </w:tr>
    </w:tbl>
    <w:p w14:paraId="40C89779" w14:textId="77777777" w:rsidR="00AC7C4F" w:rsidRPr="00BC15B4" w:rsidRDefault="00AC7C4F" w:rsidP="00AC7C4F">
      <w:pPr>
        <w:spacing w:after="0" w:line="256" w:lineRule="auto"/>
        <w:rPr>
          <w:rFonts w:ascii="Times New Roman" w:eastAsia="Calibri" w:hAnsi="Times New Roman" w:cs="Times New Roman"/>
          <w:kern w:val="0"/>
          <w:sz w:val="20"/>
          <w:szCs w:val="20"/>
          <w14:ligatures w14:val="none"/>
        </w:rPr>
      </w:pPr>
    </w:p>
    <w:p w14:paraId="6A67C4E3" w14:textId="77777777" w:rsidR="00AC7C4F" w:rsidRPr="00BC15B4" w:rsidRDefault="00AC7C4F" w:rsidP="00AC7C4F">
      <w:pPr>
        <w:spacing w:after="0" w:line="256" w:lineRule="auto"/>
        <w:rPr>
          <w:rFonts w:ascii="Times New Roman" w:eastAsia="Calibri" w:hAnsi="Times New Roman" w:cs="Times New Roman"/>
          <w:kern w:val="0"/>
          <w:sz w:val="20"/>
          <w:szCs w:val="20"/>
          <w14:ligatures w14:val="none"/>
        </w:rPr>
      </w:pPr>
    </w:p>
    <w:p w14:paraId="23BC02F6" w14:textId="77777777" w:rsidR="00CD14B5" w:rsidRPr="00AC7C4F" w:rsidRDefault="00CD14B5" w:rsidP="00CD14B5">
      <w:pPr>
        <w:spacing w:after="0" w:line="256" w:lineRule="auto"/>
        <w:rPr>
          <w:rFonts w:ascii="Times New Roman" w:eastAsia="Calibri" w:hAnsi="Times New Roman" w:cs="Times New Roman"/>
          <w:b/>
          <w:bCs/>
          <w:kern w:val="0"/>
          <w14:ligatures w14:val="none"/>
        </w:rPr>
      </w:pPr>
    </w:p>
    <w:sectPr w:rsidR="00CD14B5" w:rsidRPr="00AC7C4F" w:rsidSect="00470DC7">
      <w:pgSz w:w="12240" w:h="15840"/>
      <w:pgMar w:top="27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954"/>
    <w:rsid w:val="000346F9"/>
    <w:rsid w:val="000922E1"/>
    <w:rsid w:val="000975C5"/>
    <w:rsid w:val="001C4573"/>
    <w:rsid w:val="002E4697"/>
    <w:rsid w:val="00301C63"/>
    <w:rsid w:val="00316441"/>
    <w:rsid w:val="00320D14"/>
    <w:rsid w:val="00374F4A"/>
    <w:rsid w:val="003C0897"/>
    <w:rsid w:val="003C7954"/>
    <w:rsid w:val="003F0AFF"/>
    <w:rsid w:val="0046143F"/>
    <w:rsid w:val="00470DC7"/>
    <w:rsid w:val="00494FA7"/>
    <w:rsid w:val="004B06D6"/>
    <w:rsid w:val="005165C0"/>
    <w:rsid w:val="005D133D"/>
    <w:rsid w:val="00631E01"/>
    <w:rsid w:val="006B6853"/>
    <w:rsid w:val="006D0AFF"/>
    <w:rsid w:val="00710AC4"/>
    <w:rsid w:val="00726649"/>
    <w:rsid w:val="00750E56"/>
    <w:rsid w:val="00777EF9"/>
    <w:rsid w:val="007A0CFE"/>
    <w:rsid w:val="007C4954"/>
    <w:rsid w:val="00822C42"/>
    <w:rsid w:val="008765C8"/>
    <w:rsid w:val="008D0DFC"/>
    <w:rsid w:val="00916E72"/>
    <w:rsid w:val="00932D76"/>
    <w:rsid w:val="00962438"/>
    <w:rsid w:val="00996199"/>
    <w:rsid w:val="009C306B"/>
    <w:rsid w:val="009E405C"/>
    <w:rsid w:val="00AC7C4F"/>
    <w:rsid w:val="00B21BD3"/>
    <w:rsid w:val="00B347D3"/>
    <w:rsid w:val="00BA1DEB"/>
    <w:rsid w:val="00C74F0E"/>
    <w:rsid w:val="00CD14B5"/>
    <w:rsid w:val="00D03AEF"/>
    <w:rsid w:val="00D85F83"/>
    <w:rsid w:val="00D94F08"/>
    <w:rsid w:val="00DD6087"/>
    <w:rsid w:val="00E0143D"/>
    <w:rsid w:val="00E3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E0934"/>
  <w15:chartTrackingRefBased/>
  <w15:docId w15:val="{C19F8ACE-1A83-4B6E-AF54-90EDBC2D3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C795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C795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C7954"/>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C7954"/>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C7954"/>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C7954"/>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C7954"/>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C7954"/>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C7954"/>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C7954"/>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C7954"/>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C7954"/>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C7954"/>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C7954"/>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C795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C7954"/>
    <w:rPr>
      <w:rFonts w:eastAsiaTheme="majorEastAsia" w:cstheme="majorBidi"/>
      <w:color w:val="595959" w:themeColor="text1" w:themeTint="A6"/>
    </w:rPr>
  </w:style>
  <w:style w:type="character" w:customStyle="1" w:styleId="80">
    <w:name w:val="Заголовок 8 Знак"/>
    <w:basedOn w:val="a0"/>
    <w:link w:val="8"/>
    <w:uiPriority w:val="9"/>
    <w:semiHidden/>
    <w:rsid w:val="003C795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C7954"/>
    <w:rPr>
      <w:rFonts w:eastAsiaTheme="majorEastAsia" w:cstheme="majorBidi"/>
      <w:color w:val="272727" w:themeColor="text1" w:themeTint="D8"/>
    </w:rPr>
  </w:style>
  <w:style w:type="paragraph" w:styleId="a3">
    <w:name w:val="Title"/>
    <w:basedOn w:val="a"/>
    <w:next w:val="a"/>
    <w:link w:val="a4"/>
    <w:uiPriority w:val="10"/>
    <w:qFormat/>
    <w:rsid w:val="003C795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3C79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C7954"/>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3C7954"/>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3C7954"/>
    <w:pPr>
      <w:spacing w:before="160"/>
      <w:jc w:val="center"/>
    </w:pPr>
    <w:rPr>
      <w:i/>
      <w:iCs/>
      <w:color w:val="404040" w:themeColor="text1" w:themeTint="BF"/>
    </w:rPr>
  </w:style>
  <w:style w:type="character" w:customStyle="1" w:styleId="22">
    <w:name w:val="Цитата 2 Знак"/>
    <w:basedOn w:val="a0"/>
    <w:link w:val="21"/>
    <w:uiPriority w:val="29"/>
    <w:rsid w:val="003C7954"/>
    <w:rPr>
      <w:i/>
      <w:iCs/>
      <w:color w:val="404040" w:themeColor="text1" w:themeTint="BF"/>
    </w:rPr>
  </w:style>
  <w:style w:type="paragraph" w:styleId="a7">
    <w:name w:val="List Paragraph"/>
    <w:basedOn w:val="a"/>
    <w:uiPriority w:val="34"/>
    <w:qFormat/>
    <w:rsid w:val="003C7954"/>
    <w:pPr>
      <w:ind w:left="720"/>
      <w:contextualSpacing/>
    </w:pPr>
  </w:style>
  <w:style w:type="character" w:styleId="a8">
    <w:name w:val="Intense Emphasis"/>
    <w:basedOn w:val="a0"/>
    <w:uiPriority w:val="21"/>
    <w:qFormat/>
    <w:rsid w:val="003C7954"/>
    <w:rPr>
      <w:i/>
      <w:iCs/>
      <w:color w:val="0F4761" w:themeColor="accent1" w:themeShade="BF"/>
    </w:rPr>
  </w:style>
  <w:style w:type="paragraph" w:styleId="a9">
    <w:name w:val="Intense Quote"/>
    <w:basedOn w:val="a"/>
    <w:next w:val="a"/>
    <w:link w:val="aa"/>
    <w:uiPriority w:val="30"/>
    <w:qFormat/>
    <w:rsid w:val="003C79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a">
    <w:name w:val="Выделенная цитата Знак"/>
    <w:basedOn w:val="a0"/>
    <w:link w:val="a9"/>
    <w:uiPriority w:val="30"/>
    <w:rsid w:val="003C7954"/>
    <w:rPr>
      <w:i/>
      <w:iCs/>
      <w:color w:val="0F4761" w:themeColor="accent1" w:themeShade="BF"/>
    </w:rPr>
  </w:style>
  <w:style w:type="character" w:styleId="ab">
    <w:name w:val="Intense Reference"/>
    <w:basedOn w:val="a0"/>
    <w:uiPriority w:val="32"/>
    <w:qFormat/>
    <w:rsid w:val="003C7954"/>
    <w:rPr>
      <w:b/>
      <w:bCs/>
      <w:smallCaps/>
      <w:color w:val="0F4761" w:themeColor="accent1" w:themeShade="BF"/>
      <w:spacing w:val="5"/>
    </w:rPr>
  </w:style>
  <w:style w:type="table" w:styleId="ac">
    <w:name w:val="Table Grid"/>
    <w:basedOn w:val="a1"/>
    <w:uiPriority w:val="39"/>
    <w:rsid w:val="00CD14B5"/>
    <w:pPr>
      <w:spacing w:after="0" w:line="240" w:lineRule="auto"/>
    </w:pPr>
    <w:rPr>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2001</Words>
  <Characters>11412</Characters>
  <Application>Microsoft Office Word</Application>
  <DocSecurity>0</DocSecurity>
  <Lines>95</Lines>
  <Paragraphs>26</Paragraphs>
  <ScaleCrop>false</ScaleCrop>
  <Company/>
  <LinksUpToDate>false</LinksUpToDate>
  <CharactersWithSpaces>13387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Syezdbek Kasymov</dc:creator>
  <cp:keywords/>
  <dc:description/>
  <cp:lastModifiedBy>Aelina Dzhakypova</cp:lastModifiedBy>
  <cp:revision>7</cp:revision>
  <dcterms:created xsi:type="dcterms:W3CDTF">2026-05-22T10:51:00Z</dcterms:created>
  <dcterms:modified xsi:type="dcterms:W3CDTF">2026-05-25T07:25:00Z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2026-05-22T10:52:25Z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493c2196-1d4d-499f-a999-b0ffee2e99c5</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