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044773EE" w:rsidR="00363020" w:rsidRPr="00D5509E" w:rsidRDefault="00363020" w:rsidP="00E006AB">
      <w:pPr>
        <w:spacing w:after="0"/>
        <w:jc w:val="right"/>
        <w:rPr>
          <w:rFonts w:ascii="Times New Roman" w:hAnsi="Times New Roman" w:cs="Times New Roman"/>
          <w:b/>
          <w:bCs/>
          <w:sz w:val="22"/>
          <w:szCs w:val="22"/>
        </w:rPr>
      </w:pPr>
      <w:bookmarkStart w:id="0" w:name="_Hlk210998752"/>
      <w:bookmarkStart w:id="1" w:name="_GoBack"/>
      <w:bookmarkEnd w:id="1"/>
      <w:r w:rsidRPr="00D5509E">
        <w:rPr>
          <w:rFonts w:ascii="Times New Roman" w:hAnsi="Times New Roman" w:cs="Times New Roman"/>
          <w:b/>
          <w:bCs/>
          <w:sz w:val="22"/>
          <w:szCs w:val="22"/>
        </w:rPr>
        <w:t xml:space="preserve">Appendix </w:t>
      </w:r>
      <w:r w:rsidR="00B603FE" w:rsidRPr="00D5509E">
        <w:rPr>
          <w:rFonts w:ascii="Times New Roman" w:hAnsi="Times New Roman" w:cs="Times New Roman"/>
          <w:b/>
          <w:bCs/>
          <w:sz w:val="22"/>
          <w:szCs w:val="22"/>
        </w:rPr>
        <w:t>#</w:t>
      </w:r>
      <w:r w:rsidRPr="00D5509E">
        <w:rPr>
          <w:rFonts w:ascii="Times New Roman" w:hAnsi="Times New Roman" w:cs="Times New Roman"/>
          <w:b/>
          <w:bCs/>
          <w:sz w:val="22"/>
          <w:szCs w:val="22"/>
        </w:rPr>
        <w:t>1</w:t>
      </w:r>
    </w:p>
    <w:p w14:paraId="3E04380E" w14:textId="2795B407" w:rsidR="00363020" w:rsidRPr="00D5509E" w:rsidRDefault="00363020" w:rsidP="00E006AB">
      <w:pPr>
        <w:tabs>
          <w:tab w:val="left" w:pos="450"/>
        </w:tabs>
        <w:spacing w:after="0"/>
        <w:jc w:val="center"/>
        <w:rPr>
          <w:rFonts w:ascii="Times New Roman" w:hAnsi="Times New Roman" w:cs="Times New Roman"/>
          <w:sz w:val="22"/>
          <w:szCs w:val="22"/>
        </w:rPr>
      </w:pPr>
      <w:r w:rsidRPr="00D5509E">
        <w:rPr>
          <w:rFonts w:ascii="Times New Roman" w:hAnsi="Times New Roman" w:cs="Times New Roman"/>
          <w:b/>
          <w:bCs/>
          <w:sz w:val="22"/>
          <w:szCs w:val="22"/>
        </w:rPr>
        <w:t>Instructions for the preparation of a tender bid (for suppliers)</w:t>
      </w:r>
    </w:p>
    <w:p w14:paraId="42E73C50" w14:textId="77777777" w:rsidR="00363020" w:rsidRPr="00D5509E" w:rsidRDefault="00363020" w:rsidP="00E006AB">
      <w:pPr>
        <w:tabs>
          <w:tab w:val="left" w:pos="450"/>
        </w:tabs>
        <w:spacing w:after="0"/>
        <w:jc w:val="both"/>
        <w:rPr>
          <w:rFonts w:ascii="Times New Roman" w:hAnsi="Times New Roman" w:cs="Times New Roman"/>
          <w:sz w:val="22"/>
          <w:szCs w:val="22"/>
        </w:rPr>
      </w:pPr>
    </w:p>
    <w:p w14:paraId="3C01B0FD" w14:textId="30FE5568"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Tender Bid Preparation Instruction (hereinafter referred to as IC) is a </w:t>
      </w:r>
      <w:r w:rsidR="00B603FE" w:rsidRPr="00D5509E">
        <w:rPr>
          <w:rFonts w:ascii="Times New Roman" w:hAnsi="Times New Roman" w:cs="Times New Roman"/>
          <w:sz w:val="22"/>
          <w:szCs w:val="22"/>
        </w:rPr>
        <w:t>S</w:t>
      </w:r>
      <w:r w:rsidRPr="00D5509E">
        <w:rPr>
          <w:rFonts w:ascii="Times New Roman" w:hAnsi="Times New Roman" w:cs="Times New Roman"/>
          <w:sz w:val="22"/>
          <w:szCs w:val="22"/>
        </w:rPr>
        <w:t>upplier</w:t>
      </w:r>
      <w:r w:rsidR="00B603FE" w:rsidRPr="00D5509E">
        <w:rPr>
          <w:rFonts w:ascii="Times New Roman" w:hAnsi="Times New Roman" w:cs="Times New Roman"/>
          <w:sz w:val="22"/>
          <w:szCs w:val="22"/>
        </w:rPr>
        <w:t>’</w:t>
      </w:r>
      <w:r w:rsidRPr="00D5509E">
        <w:rPr>
          <w:rFonts w:ascii="Times New Roman" w:hAnsi="Times New Roman" w:cs="Times New Roman"/>
          <w:sz w:val="22"/>
          <w:szCs w:val="22"/>
        </w:rPr>
        <w:t xml:space="preserve">s manual, which establishes the requirements for the tenderer's documentation and the conditions for its participation in the tender. </w:t>
      </w:r>
    </w:p>
    <w:p w14:paraId="27EFB147" w14:textId="77777777"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the event that the requirements to the participants or the evaluation criteria are not established by the tender documentation, the procuring entity shall not be entitled to apply the unspecified criteria or to require the tenderer to comply with the unspecified requirements or to provide documents not specified in the tender documentation. </w:t>
      </w:r>
    </w:p>
    <w:p w14:paraId="3170C2B1" w14:textId="479FB0C9"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Participants in the competition can be individuals and/or legal entities, in any combination with the official intention </w:t>
      </w:r>
      <w:r w:rsidR="00994482" w:rsidRPr="00D5509E">
        <w:rPr>
          <w:rFonts w:ascii="Times New Roman" w:hAnsi="Times New Roman" w:cs="Times New Roman"/>
          <w:sz w:val="22"/>
          <w:szCs w:val="22"/>
        </w:rPr>
        <w:t>of completing</w:t>
      </w:r>
      <w:r w:rsidRPr="00D5509E">
        <w:rPr>
          <w:rFonts w:ascii="Times New Roman" w:hAnsi="Times New Roman" w:cs="Times New Roman"/>
          <w:sz w:val="22"/>
          <w:szCs w:val="22"/>
        </w:rPr>
        <w:t xml:space="preserve"> </w:t>
      </w:r>
      <w:r w:rsidR="00F02E27" w:rsidRPr="00D5509E">
        <w:rPr>
          <w:rFonts w:ascii="Times New Roman" w:hAnsi="Times New Roman" w:cs="Times New Roman"/>
          <w:sz w:val="22"/>
          <w:szCs w:val="22"/>
        </w:rPr>
        <w:t>an</w:t>
      </w:r>
      <w:r w:rsidRPr="00D5509E">
        <w:rPr>
          <w:rFonts w:ascii="Times New Roman" w:hAnsi="Times New Roman" w:cs="Times New Roman"/>
          <w:sz w:val="22"/>
          <w:szCs w:val="22"/>
        </w:rPr>
        <w:t xml:space="preserv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w:t>
      </w:r>
    </w:p>
    <w:p w14:paraId="4DE9C83B" w14:textId="5FCE965A"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It is prohibited to participate in procurement for suppliers, as well as their managers included in the database of unscrupulous suppliers, as well as participating in another supplier as a sub</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w:t>
      </w:r>
    </w:p>
    <w:p w14:paraId="1CB367A9" w14:textId="7A92F9BD"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participant </w:t>
      </w:r>
      <w:r w:rsidR="00994482" w:rsidRPr="00D5509E">
        <w:rPr>
          <w:rFonts w:ascii="Times New Roman" w:hAnsi="Times New Roman" w:cs="Times New Roman"/>
          <w:sz w:val="22"/>
          <w:szCs w:val="22"/>
        </w:rPr>
        <w:t>in</w:t>
      </w:r>
      <w:r w:rsidRPr="00D5509E">
        <w:rPr>
          <w:rFonts w:ascii="Times New Roman" w:hAnsi="Times New Roman" w:cs="Times New Roman"/>
          <w:sz w:val="22"/>
          <w:szCs w:val="22"/>
        </w:rPr>
        <w:t xml:space="preserve"> the </w:t>
      </w:r>
      <w:r w:rsidR="00994482" w:rsidRPr="00D5509E">
        <w:rPr>
          <w:rFonts w:ascii="Times New Roman" w:hAnsi="Times New Roman" w:cs="Times New Roman"/>
          <w:sz w:val="22"/>
          <w:szCs w:val="22"/>
        </w:rPr>
        <w:t>tender</w:t>
      </w:r>
      <w:r w:rsidRPr="00D5509E">
        <w:rPr>
          <w:rFonts w:ascii="Times New Roman" w:hAnsi="Times New Roman" w:cs="Times New Roman"/>
          <w:sz w:val="22"/>
          <w:szCs w:val="22"/>
        </w:rPr>
        <w:t xml:space="preserve"> must not have a conflict of interest. Participants in the competition who are found to have a conflict of interest will be disqualified. </w:t>
      </w:r>
    </w:p>
    <w:p w14:paraId="299C8B46" w14:textId="27EF33D8"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w:t>
      </w:r>
      <w:r w:rsidR="00B965D6" w:rsidRPr="00D5509E">
        <w:rPr>
          <w:rFonts w:ascii="Times New Roman" w:hAnsi="Times New Roman" w:cs="Times New Roman"/>
          <w:sz w:val="22"/>
          <w:szCs w:val="22"/>
        </w:rPr>
        <w:t>Participant</w:t>
      </w:r>
      <w:r w:rsidRPr="00D5509E">
        <w:rPr>
          <w:rFonts w:ascii="Times New Roman" w:hAnsi="Times New Roman" w:cs="Times New Roman"/>
          <w:sz w:val="22"/>
          <w:szCs w:val="22"/>
        </w:rPr>
        <w:t xml:space="preserve"> may be considered to be in conflict of interest with one or more parties to this </w:t>
      </w:r>
      <w:r w:rsidR="00B965D6" w:rsidRPr="00D5509E">
        <w:rPr>
          <w:rFonts w:ascii="Times New Roman" w:hAnsi="Times New Roman" w:cs="Times New Roman"/>
          <w:sz w:val="22"/>
          <w:szCs w:val="22"/>
        </w:rPr>
        <w:t>tender</w:t>
      </w:r>
      <w:r w:rsidRPr="00D5509E">
        <w:rPr>
          <w:rFonts w:ascii="Times New Roman" w:hAnsi="Times New Roman" w:cs="Times New Roman"/>
          <w:sz w:val="22"/>
          <w:szCs w:val="22"/>
        </w:rPr>
        <w:t xml:space="preserve"> if any of the following circumstances occur, including, but not limited to: </w:t>
      </w:r>
    </w:p>
    <w:p w14:paraId="7597BDD7" w14:textId="230A0A47" w:rsidR="00363020" w:rsidRPr="00D5509E"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common legal representative for the purposes of this </w:t>
      </w:r>
      <w:r w:rsidR="00994482" w:rsidRPr="00D5509E">
        <w:rPr>
          <w:rFonts w:ascii="Times New Roman" w:hAnsi="Times New Roman" w:cs="Times New Roman"/>
          <w:sz w:val="22"/>
          <w:szCs w:val="22"/>
        </w:rPr>
        <w:t>Bid.</w:t>
      </w:r>
      <w:r w:rsidRPr="00D5509E">
        <w:rPr>
          <w:rFonts w:ascii="Times New Roman" w:hAnsi="Times New Roman" w:cs="Times New Roman"/>
          <w:sz w:val="22"/>
          <w:szCs w:val="22"/>
        </w:rPr>
        <w:t xml:space="preserve"> </w:t>
      </w:r>
    </w:p>
    <w:p w14:paraId="595AD0E6" w14:textId="77777777" w:rsidR="00363020" w:rsidRPr="00D5509E"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tenderer shall participate in more than one tender in this tender, either individually or as a partner in a joint venture, except for alternative bids permitted in the procurement documentation. This will result in the disqualification of all bids in which he participates. </w:t>
      </w:r>
    </w:p>
    <w:p w14:paraId="0C0CE1B2" w14:textId="4C8314F2" w:rsidR="00363020" w:rsidRPr="00D5509E"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tenderer who participated as a consulting party in the preparation of the draft or technical specifications of goods, works and services that are the subject of the tender </w:t>
      </w:r>
      <w:r w:rsidR="00994482"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653B30D8" w14:textId="77777777" w:rsidR="00363020" w:rsidRPr="00D5509E"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tenderer who is related to the employees of the Procuring Organization who: </w:t>
      </w:r>
    </w:p>
    <w:p w14:paraId="2ACDBDBD" w14:textId="5370B95B"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participate directly or indirectly in the preparation of the tender documents or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specifications and/or in the evaluation of the tender under such </w:t>
      </w:r>
      <w:r w:rsidR="00DA303D" w:rsidRPr="00D5509E">
        <w:rPr>
          <w:rFonts w:ascii="Times New Roman" w:hAnsi="Times New Roman" w:cs="Times New Roman"/>
          <w:sz w:val="22"/>
          <w:szCs w:val="22"/>
        </w:rPr>
        <w:t>agreement</w:t>
      </w:r>
      <w:r w:rsidR="00994482"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31F4CB63" w14:textId="493B8FF0"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w:t>
      </w:r>
      <w:r w:rsidR="0090176A"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participate in the implementation or supervision of such </w:t>
      </w:r>
      <w:r w:rsidR="00F02E27" w:rsidRPr="00D5509E">
        <w:rPr>
          <w:rFonts w:ascii="Times New Roman" w:hAnsi="Times New Roman" w:cs="Times New Roman"/>
          <w:sz w:val="22"/>
          <w:szCs w:val="22"/>
        </w:rPr>
        <w:t>an</w:t>
      </w:r>
      <w:r w:rsidRPr="00D5509E">
        <w:rPr>
          <w:rFonts w:ascii="Times New Roman" w:hAnsi="Times New Roman" w:cs="Times New Roman"/>
          <w:sz w:val="22"/>
          <w:szCs w:val="22"/>
        </w:rPr>
        <w:t xml:space="preserv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if the conflict arising from such relationship has not been resolved in a manner acceptable to the Procuring Entity throughout the procurement and performance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w:t>
      </w:r>
    </w:p>
    <w:p w14:paraId="172B52A2" w14:textId="498577D1"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All procurement participants must comply with the basic principles of ethical conduct in the procurement process and in the execution of procurement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s. Members must not be involved in misconduct such as corruption, fraud, collusion, coercion, and bribery. </w:t>
      </w:r>
    </w:p>
    <w:p w14:paraId="740DD722" w14:textId="6D392B85"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the event of intra-group cooperation of </w:t>
      </w:r>
      <w:r w:rsidR="00994482" w:rsidRPr="00D5509E">
        <w:rPr>
          <w:rFonts w:ascii="Times New Roman" w:hAnsi="Times New Roman" w:cs="Times New Roman"/>
          <w:sz w:val="22"/>
          <w:szCs w:val="22"/>
        </w:rPr>
        <w:t>people</w:t>
      </w:r>
      <w:r w:rsidRPr="00D5509E">
        <w:rPr>
          <w:rFonts w:ascii="Times New Roman" w:hAnsi="Times New Roman" w:cs="Times New Roman"/>
          <w:sz w:val="22"/>
          <w:szCs w:val="22"/>
        </w:rPr>
        <w:t xml:space="preserve"> participating in the procurement, the participants in the procurement procedure shall comply with the requirements of the legislation of the Kyrgyz Republic on interested transactions. </w:t>
      </w:r>
    </w:p>
    <w:p w14:paraId="52031BBA" w14:textId="77777777" w:rsidR="00363020" w:rsidRPr="00D5509E"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If the procuring entity discovers the facts referred to in this paragraph, the proposals of such suppliers shall be rejected. </w:t>
      </w:r>
    </w:p>
    <w:p w14:paraId="58E53401" w14:textId="30807B53" w:rsidR="00363020" w:rsidRPr="00D5509E" w:rsidRDefault="00327418" w:rsidP="00E006AB">
      <w:pPr>
        <w:tabs>
          <w:tab w:val="left" w:pos="450"/>
        </w:tabs>
        <w:spacing w:after="0"/>
        <w:jc w:val="both"/>
        <w:rPr>
          <w:rFonts w:ascii="Times New Roman" w:hAnsi="Times New Roman" w:cs="Times New Roman"/>
          <w:sz w:val="22"/>
          <w:szCs w:val="22"/>
          <w:lang w:val="ru-RU"/>
        </w:rPr>
      </w:pPr>
      <w:r w:rsidRPr="00D5509E">
        <w:rPr>
          <w:rFonts w:ascii="Times New Roman" w:hAnsi="Times New Roman" w:cs="Times New Roman"/>
          <w:b/>
          <w:bCs/>
          <w:sz w:val="22"/>
          <w:szCs w:val="22"/>
        </w:rPr>
        <w:t>Tender</w:t>
      </w:r>
      <w:r w:rsidR="00363020" w:rsidRPr="00D5509E">
        <w:rPr>
          <w:rFonts w:ascii="Times New Roman" w:hAnsi="Times New Roman" w:cs="Times New Roman"/>
          <w:b/>
          <w:bCs/>
          <w:sz w:val="22"/>
          <w:szCs w:val="22"/>
        </w:rPr>
        <w:t xml:space="preserve"> application </w:t>
      </w:r>
    </w:p>
    <w:p w14:paraId="6C08F6C8" w14:textId="146E4FF8"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tender prepared by the Tenderer (hereinafter referred to as the </w:t>
      </w:r>
      <w:r w:rsidR="00C80CED" w:rsidRPr="00D5509E">
        <w:rPr>
          <w:rFonts w:ascii="Times New Roman" w:hAnsi="Times New Roman" w:cs="Times New Roman"/>
          <w:sz w:val="22"/>
          <w:szCs w:val="22"/>
        </w:rPr>
        <w:t>“</w:t>
      </w:r>
      <w:r w:rsidRPr="00D5509E">
        <w:rPr>
          <w:rFonts w:ascii="Times New Roman" w:hAnsi="Times New Roman" w:cs="Times New Roman"/>
          <w:sz w:val="22"/>
          <w:szCs w:val="22"/>
        </w:rPr>
        <w:t>Tender Bid</w:t>
      </w:r>
      <w:r w:rsidR="00204432" w:rsidRPr="00D5509E">
        <w:rPr>
          <w:rFonts w:ascii="Times New Roman" w:hAnsi="Times New Roman" w:cs="Times New Roman"/>
          <w:sz w:val="22"/>
          <w:szCs w:val="22"/>
        </w:rPr>
        <w:t>,”</w:t>
      </w:r>
      <w:r w:rsidRPr="00D5509E">
        <w:rPr>
          <w:rFonts w:ascii="Times New Roman" w:hAnsi="Times New Roman" w:cs="Times New Roman"/>
          <w:sz w:val="22"/>
          <w:szCs w:val="22"/>
        </w:rPr>
        <w:t xml:space="preserve"> as well as the </w:t>
      </w:r>
      <w:r w:rsidR="00C80CED" w:rsidRPr="00D5509E">
        <w:rPr>
          <w:rFonts w:ascii="Times New Roman" w:hAnsi="Times New Roman" w:cs="Times New Roman"/>
          <w:sz w:val="22"/>
          <w:szCs w:val="22"/>
        </w:rPr>
        <w:t>“</w:t>
      </w:r>
      <w:r w:rsidRPr="00D5509E">
        <w:rPr>
          <w:rFonts w:ascii="Times New Roman" w:hAnsi="Times New Roman" w:cs="Times New Roman"/>
          <w:sz w:val="22"/>
          <w:szCs w:val="22"/>
        </w:rPr>
        <w:t>Proposal</w:t>
      </w:r>
      <w:r w:rsidR="00C80CED" w:rsidRPr="00D5509E">
        <w:rPr>
          <w:rFonts w:ascii="Times New Roman" w:hAnsi="Times New Roman" w:cs="Times New Roman"/>
          <w:sz w:val="22"/>
          <w:szCs w:val="22"/>
        </w:rPr>
        <w:t>”</w:t>
      </w:r>
      <w:r w:rsidRPr="00D5509E">
        <w:rPr>
          <w:rFonts w:ascii="Times New Roman" w:hAnsi="Times New Roman" w:cs="Times New Roman"/>
          <w:sz w:val="22"/>
          <w:szCs w:val="22"/>
        </w:rPr>
        <w:t xml:space="preserve">), as well as all correspondence and documents relating to this Tender exchanged between the Tenderer and the Procuring Entity, shall be drawn up in the language specified in the Invitation. </w:t>
      </w:r>
    </w:p>
    <w:p w14:paraId="2EF0507E"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If the proposal is accompanied by documents in other languages (copies of certificates, technical documentation, promotional materials, etc.), such documents must be translated into the language of the procurement documentation, and the translator's signature must be notarized. </w:t>
      </w:r>
    </w:p>
    <w:p w14:paraId="544CB2BC"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Participant shall bear all costs associated with the preparation and submission of the Bid. The procuring entity shall not be liable for the recovery of such costs, regardless of the outcome of the competition. </w:t>
      </w:r>
    </w:p>
    <w:p w14:paraId="1D71C2A5" w14:textId="305E8BE1"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lastRenderedPageBreak/>
        <w:t>Documentation included in the supplier</w:t>
      </w:r>
      <w:r w:rsidR="00E72EE5" w:rsidRPr="00D5509E">
        <w:rPr>
          <w:rFonts w:ascii="Times New Roman" w:hAnsi="Times New Roman" w:cs="Times New Roman"/>
          <w:sz w:val="22"/>
          <w:szCs w:val="22"/>
        </w:rPr>
        <w:t>’</w:t>
      </w:r>
      <w:r w:rsidRPr="00D5509E">
        <w:rPr>
          <w:rFonts w:ascii="Times New Roman" w:hAnsi="Times New Roman" w:cs="Times New Roman"/>
          <w:sz w:val="22"/>
          <w:szCs w:val="22"/>
        </w:rPr>
        <w:t xml:space="preserve">s tender bid under the one-stage single-package procedure: </w:t>
      </w:r>
    </w:p>
    <w:p w14:paraId="30450072" w14:textId="6232D9E9"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a tender application/proposal of the supplier signed by the supplier</w:t>
      </w:r>
      <w:r w:rsidR="00517708" w:rsidRPr="00D5509E">
        <w:rPr>
          <w:rFonts w:ascii="Times New Roman" w:hAnsi="Times New Roman" w:cs="Times New Roman"/>
          <w:sz w:val="22"/>
          <w:szCs w:val="22"/>
        </w:rPr>
        <w:t>’</w:t>
      </w:r>
      <w:r w:rsidRPr="00D5509E">
        <w:rPr>
          <w:rFonts w:ascii="Times New Roman" w:hAnsi="Times New Roman" w:cs="Times New Roman"/>
          <w:sz w:val="22"/>
          <w:szCs w:val="22"/>
        </w:rPr>
        <w:t xml:space="preserve">s authorized person, including with the use of an electronic </w:t>
      </w:r>
      <w:r w:rsidR="00994482" w:rsidRPr="00D5509E">
        <w:rPr>
          <w:rFonts w:ascii="Times New Roman" w:hAnsi="Times New Roman" w:cs="Times New Roman"/>
          <w:sz w:val="22"/>
          <w:szCs w:val="22"/>
        </w:rPr>
        <w:t>signature.</w:t>
      </w:r>
      <w:r w:rsidRPr="00D5509E">
        <w:rPr>
          <w:rFonts w:ascii="Times New Roman" w:hAnsi="Times New Roman" w:cs="Times New Roman"/>
          <w:sz w:val="22"/>
          <w:szCs w:val="22"/>
        </w:rPr>
        <w:t xml:space="preserve"> </w:t>
      </w:r>
    </w:p>
    <w:p w14:paraId="622EDA59" w14:textId="2050BD97"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completed forms for the supply of goods, scope of work and services in accordance with the Appendices of this Standard Tender </w:t>
      </w:r>
      <w:r w:rsidR="00994482" w:rsidRPr="00D5509E">
        <w:rPr>
          <w:rFonts w:ascii="Times New Roman" w:hAnsi="Times New Roman" w:cs="Times New Roman"/>
          <w:sz w:val="22"/>
          <w:szCs w:val="22"/>
        </w:rPr>
        <w:t>Documentation.</w:t>
      </w:r>
      <w:r w:rsidRPr="00D5509E">
        <w:rPr>
          <w:rFonts w:ascii="Times New Roman" w:hAnsi="Times New Roman" w:cs="Times New Roman"/>
          <w:sz w:val="22"/>
          <w:szCs w:val="22"/>
        </w:rPr>
        <w:t xml:space="preserve"> </w:t>
      </w:r>
    </w:p>
    <w:p w14:paraId="3A7B665E" w14:textId="4C93A958"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technical </w:t>
      </w:r>
      <w:r w:rsidR="00994482" w:rsidRPr="00D5509E">
        <w:rPr>
          <w:rFonts w:ascii="Times New Roman" w:hAnsi="Times New Roman" w:cs="Times New Roman"/>
          <w:sz w:val="22"/>
          <w:szCs w:val="22"/>
        </w:rPr>
        <w:t>specifications</w:t>
      </w:r>
      <w:r w:rsidRPr="00D5509E">
        <w:rPr>
          <w:rFonts w:ascii="Times New Roman" w:hAnsi="Times New Roman" w:cs="Times New Roman"/>
          <w:sz w:val="22"/>
          <w:szCs w:val="22"/>
        </w:rPr>
        <w:t xml:space="preserve"> of the proposed goods, consumables, spare parts, </w:t>
      </w:r>
      <w:r w:rsidR="00994482" w:rsidRPr="00D5509E">
        <w:rPr>
          <w:rFonts w:ascii="Times New Roman" w:hAnsi="Times New Roman" w:cs="Times New Roman"/>
          <w:sz w:val="22"/>
          <w:szCs w:val="22"/>
        </w:rPr>
        <w:t>etc.</w:t>
      </w:r>
      <w:r w:rsidRPr="00D5509E">
        <w:rPr>
          <w:rFonts w:ascii="Times New Roman" w:hAnsi="Times New Roman" w:cs="Times New Roman"/>
          <w:sz w:val="22"/>
          <w:szCs w:val="22"/>
        </w:rPr>
        <w:t xml:space="preserve"> </w:t>
      </w:r>
    </w:p>
    <w:p w14:paraId="2B12FC6A" w14:textId="0B33124E"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table of prices for the supply of </w:t>
      </w:r>
      <w:r w:rsidR="00994482" w:rsidRPr="00D5509E">
        <w:rPr>
          <w:rFonts w:ascii="Times New Roman" w:hAnsi="Times New Roman" w:cs="Times New Roman"/>
          <w:sz w:val="22"/>
          <w:szCs w:val="22"/>
        </w:rPr>
        <w:t>goods.</w:t>
      </w:r>
      <w:r w:rsidRPr="00D5509E">
        <w:rPr>
          <w:rFonts w:ascii="Times New Roman" w:hAnsi="Times New Roman" w:cs="Times New Roman"/>
          <w:sz w:val="22"/>
          <w:szCs w:val="22"/>
        </w:rPr>
        <w:t xml:space="preserve"> </w:t>
      </w:r>
    </w:p>
    <w:p w14:paraId="126A474D" w14:textId="01FCF522"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statement of the scope of work/provision of services (for each type/name) indicating the cost including applicable </w:t>
      </w:r>
      <w:r w:rsidR="00994482" w:rsidRPr="00D5509E">
        <w:rPr>
          <w:rFonts w:ascii="Times New Roman" w:hAnsi="Times New Roman" w:cs="Times New Roman"/>
          <w:sz w:val="22"/>
          <w:szCs w:val="22"/>
        </w:rPr>
        <w:t>taxes.</w:t>
      </w:r>
      <w:r w:rsidRPr="00D5509E">
        <w:rPr>
          <w:rFonts w:ascii="Times New Roman" w:hAnsi="Times New Roman" w:cs="Times New Roman"/>
          <w:sz w:val="22"/>
          <w:szCs w:val="22"/>
        </w:rPr>
        <w:t xml:space="preserve"> </w:t>
      </w:r>
    </w:p>
    <w:p w14:paraId="123E11D1" w14:textId="2D519493"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schedule of delivery of goods/performance of work/provision of </w:t>
      </w:r>
      <w:r w:rsidR="00994482" w:rsidRPr="00D5509E">
        <w:rPr>
          <w:rFonts w:ascii="Times New Roman" w:hAnsi="Times New Roman" w:cs="Times New Roman"/>
          <w:sz w:val="22"/>
          <w:szCs w:val="22"/>
        </w:rPr>
        <w:t>services.</w:t>
      </w:r>
      <w:r w:rsidRPr="00D5509E">
        <w:rPr>
          <w:rFonts w:ascii="Times New Roman" w:hAnsi="Times New Roman" w:cs="Times New Roman"/>
          <w:sz w:val="22"/>
          <w:szCs w:val="22"/>
        </w:rPr>
        <w:t xml:space="preserve"> </w:t>
      </w:r>
    </w:p>
    <w:p w14:paraId="723E4548" w14:textId="77777777"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methodology for performing work/providing services (if required), </w:t>
      </w:r>
    </w:p>
    <w:p w14:paraId="59F4CA80" w14:textId="5DEF3EE9"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licenses/permits, in accordance with the current legislation of the Kyrgyz Republic on the licensing and permitting system (if applicable), patents, </w:t>
      </w:r>
      <w:r w:rsidR="00994482" w:rsidRPr="00D5509E">
        <w:rPr>
          <w:rFonts w:ascii="Times New Roman" w:hAnsi="Times New Roman" w:cs="Times New Roman"/>
          <w:sz w:val="22"/>
          <w:szCs w:val="22"/>
        </w:rPr>
        <w:t>etc.</w:t>
      </w:r>
      <w:r w:rsidRPr="00D5509E">
        <w:rPr>
          <w:rFonts w:ascii="Times New Roman" w:hAnsi="Times New Roman" w:cs="Times New Roman"/>
          <w:sz w:val="22"/>
          <w:szCs w:val="22"/>
        </w:rPr>
        <w:t xml:space="preserve"> </w:t>
      </w:r>
    </w:p>
    <w:p w14:paraId="1F096758" w14:textId="151C04E5"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information on qualifications, with supporting documents on compliance with the established qualification requirements (letters of authorization, certificates, financial statements, copies of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s confirming experience and acts of acceptance of goods, works and services</w:t>
      </w:r>
      <w:r w:rsidR="00994482"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46CE6273" w14:textId="1CB5B624" w:rsidR="00363020" w:rsidRPr="00D5509E" w:rsidRDefault="007F1AB1">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S</w:t>
      </w:r>
      <w:r w:rsidR="00363020" w:rsidRPr="00D5509E">
        <w:rPr>
          <w:rFonts w:ascii="Times New Roman" w:hAnsi="Times New Roman" w:cs="Times New Roman"/>
          <w:sz w:val="22"/>
          <w:szCs w:val="22"/>
        </w:rPr>
        <w:t>upplier</w:t>
      </w:r>
      <w:r w:rsidRPr="00D5509E">
        <w:rPr>
          <w:rFonts w:ascii="Times New Roman" w:hAnsi="Times New Roman" w:cs="Times New Roman"/>
          <w:sz w:val="22"/>
          <w:szCs w:val="22"/>
        </w:rPr>
        <w:t>’</w:t>
      </w:r>
      <w:r w:rsidR="00363020" w:rsidRPr="00D5509E">
        <w:rPr>
          <w:rFonts w:ascii="Times New Roman" w:hAnsi="Times New Roman" w:cs="Times New Roman"/>
          <w:sz w:val="22"/>
          <w:szCs w:val="22"/>
        </w:rPr>
        <w:t>s tender bid</w:t>
      </w:r>
      <w:r w:rsidR="00F27581" w:rsidRPr="00D5509E">
        <w:rPr>
          <w:rFonts w:ascii="Times New Roman" w:hAnsi="Times New Roman" w:cs="Times New Roman"/>
          <w:sz w:val="22"/>
          <w:szCs w:val="22"/>
        </w:rPr>
        <w:t xml:space="preserve"> bond </w:t>
      </w:r>
      <w:r w:rsidR="00994482" w:rsidRPr="00D5509E">
        <w:rPr>
          <w:rFonts w:ascii="Times New Roman" w:hAnsi="Times New Roman" w:cs="Times New Roman"/>
          <w:sz w:val="22"/>
          <w:szCs w:val="22"/>
        </w:rPr>
        <w:t>guarantee.</w:t>
      </w:r>
      <w:r w:rsidR="00363020" w:rsidRPr="00D5509E">
        <w:rPr>
          <w:rFonts w:ascii="Times New Roman" w:hAnsi="Times New Roman" w:cs="Times New Roman"/>
          <w:sz w:val="22"/>
          <w:szCs w:val="22"/>
        </w:rPr>
        <w:t xml:space="preserve"> </w:t>
      </w:r>
    </w:p>
    <w:p w14:paraId="76A3BA8E" w14:textId="77777777" w:rsidR="00363020" w:rsidRPr="00D5509E"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registration documents of the supplier: extract from the state register of legal entities, certificate of an individual entrepreneur, copy of the Charter/Regulations of the participant, documents confirming the authority of the person who signed the Tender Bid. </w:t>
      </w:r>
    </w:p>
    <w:p w14:paraId="0238BF31" w14:textId="4C839624"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Documentation included in the supplier</w:t>
      </w:r>
      <w:r w:rsidR="002F6D08" w:rsidRPr="00D5509E">
        <w:rPr>
          <w:rFonts w:ascii="Times New Roman" w:hAnsi="Times New Roman" w:cs="Times New Roman"/>
          <w:sz w:val="22"/>
          <w:szCs w:val="22"/>
        </w:rPr>
        <w:t>’</w:t>
      </w:r>
      <w:r w:rsidRPr="00D5509E">
        <w:rPr>
          <w:rFonts w:ascii="Times New Roman" w:hAnsi="Times New Roman" w:cs="Times New Roman"/>
          <w:sz w:val="22"/>
          <w:szCs w:val="22"/>
        </w:rPr>
        <w:t xml:space="preserve">s tender bid under a one-stage two-package procedure. </w:t>
      </w:r>
    </w:p>
    <w:p w14:paraId="560B79F7"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tender proposal shall consist of two packages of documents submitted simultaneously, one of which shall contain the Technical Proposal, and the other - the Price Proposal, and both packages of documents shall be included in the tender bid. </w:t>
      </w:r>
    </w:p>
    <w:p w14:paraId="1152D74C" w14:textId="29C0713B"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supplier</w:t>
      </w:r>
      <w:r w:rsidR="008C67F2" w:rsidRPr="00D5509E">
        <w:rPr>
          <w:rFonts w:ascii="Times New Roman" w:hAnsi="Times New Roman" w:cs="Times New Roman"/>
          <w:sz w:val="22"/>
          <w:szCs w:val="22"/>
        </w:rPr>
        <w:t>’</w:t>
      </w:r>
      <w:r w:rsidRPr="00D5509E">
        <w:rPr>
          <w:rFonts w:ascii="Times New Roman" w:hAnsi="Times New Roman" w:cs="Times New Roman"/>
          <w:sz w:val="22"/>
          <w:szCs w:val="22"/>
        </w:rPr>
        <w:t xml:space="preserve">s technical proposal must consist of the following documents: </w:t>
      </w:r>
    </w:p>
    <w:p w14:paraId="321A2B91" w14:textId="2093061E"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Supplier</w:t>
      </w:r>
      <w:r w:rsidR="008C67F2" w:rsidRPr="00D5509E">
        <w:rPr>
          <w:rFonts w:ascii="Times New Roman" w:hAnsi="Times New Roman" w:cs="Times New Roman"/>
          <w:sz w:val="22"/>
          <w:szCs w:val="22"/>
        </w:rPr>
        <w:t>’</w:t>
      </w:r>
      <w:r w:rsidRPr="00D5509E">
        <w:rPr>
          <w:rFonts w:ascii="Times New Roman" w:hAnsi="Times New Roman" w:cs="Times New Roman"/>
          <w:sz w:val="22"/>
          <w:szCs w:val="22"/>
        </w:rPr>
        <w:t>s technical proposal signed by the supplier</w:t>
      </w:r>
      <w:r w:rsidR="008C67F2" w:rsidRPr="00D5509E">
        <w:rPr>
          <w:rFonts w:ascii="Times New Roman" w:hAnsi="Times New Roman" w:cs="Times New Roman"/>
          <w:sz w:val="22"/>
          <w:szCs w:val="22"/>
        </w:rPr>
        <w:t>’</w:t>
      </w:r>
      <w:r w:rsidRPr="00D5509E">
        <w:rPr>
          <w:rFonts w:ascii="Times New Roman" w:hAnsi="Times New Roman" w:cs="Times New Roman"/>
          <w:sz w:val="22"/>
          <w:szCs w:val="22"/>
        </w:rPr>
        <w:t xml:space="preserve">s authorized person, including the use of an electronic </w:t>
      </w:r>
      <w:r w:rsidR="00994482" w:rsidRPr="00D5509E">
        <w:rPr>
          <w:rFonts w:ascii="Times New Roman" w:hAnsi="Times New Roman" w:cs="Times New Roman"/>
          <w:sz w:val="22"/>
          <w:szCs w:val="22"/>
        </w:rPr>
        <w:t>signature.</w:t>
      </w:r>
      <w:r w:rsidRPr="00D5509E">
        <w:rPr>
          <w:rFonts w:ascii="Times New Roman" w:hAnsi="Times New Roman" w:cs="Times New Roman"/>
          <w:sz w:val="22"/>
          <w:szCs w:val="22"/>
        </w:rPr>
        <w:t xml:space="preserve"> </w:t>
      </w:r>
    </w:p>
    <w:p w14:paraId="310632EB" w14:textId="179B606E"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guarantee security for the supplier</w:t>
      </w:r>
      <w:r w:rsidR="008C67F2" w:rsidRPr="00D5509E">
        <w:rPr>
          <w:rFonts w:ascii="Times New Roman" w:hAnsi="Times New Roman" w:cs="Times New Roman"/>
          <w:sz w:val="22"/>
          <w:szCs w:val="22"/>
        </w:rPr>
        <w:t>’</w:t>
      </w:r>
      <w:r w:rsidRPr="00D5509E">
        <w:rPr>
          <w:rFonts w:ascii="Times New Roman" w:hAnsi="Times New Roman" w:cs="Times New Roman"/>
          <w:sz w:val="22"/>
          <w:szCs w:val="22"/>
        </w:rPr>
        <w:t xml:space="preserve">s tender </w:t>
      </w:r>
      <w:r w:rsidR="00994482" w:rsidRPr="00D5509E">
        <w:rPr>
          <w:rFonts w:ascii="Times New Roman" w:hAnsi="Times New Roman" w:cs="Times New Roman"/>
          <w:sz w:val="22"/>
          <w:szCs w:val="22"/>
        </w:rPr>
        <w:t>bid.</w:t>
      </w:r>
      <w:r w:rsidRPr="00D5509E">
        <w:rPr>
          <w:rFonts w:ascii="Times New Roman" w:hAnsi="Times New Roman" w:cs="Times New Roman"/>
          <w:sz w:val="22"/>
          <w:szCs w:val="22"/>
        </w:rPr>
        <w:t xml:space="preserve"> </w:t>
      </w:r>
    </w:p>
    <w:p w14:paraId="55DC21A9" w14:textId="2BD33B2F"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technical </w:t>
      </w:r>
      <w:r w:rsidR="00994482" w:rsidRPr="00D5509E">
        <w:rPr>
          <w:rFonts w:ascii="Times New Roman" w:hAnsi="Times New Roman" w:cs="Times New Roman"/>
          <w:sz w:val="22"/>
          <w:szCs w:val="22"/>
        </w:rPr>
        <w:t>specifications</w:t>
      </w:r>
      <w:r w:rsidRPr="00D5509E">
        <w:rPr>
          <w:rFonts w:ascii="Times New Roman" w:hAnsi="Times New Roman" w:cs="Times New Roman"/>
          <w:sz w:val="22"/>
          <w:szCs w:val="22"/>
        </w:rPr>
        <w:t xml:space="preserve"> of the proposed goods, consumables, spare parts, </w:t>
      </w:r>
      <w:r w:rsidR="00994482" w:rsidRPr="00D5509E">
        <w:rPr>
          <w:rFonts w:ascii="Times New Roman" w:hAnsi="Times New Roman" w:cs="Times New Roman"/>
          <w:sz w:val="22"/>
          <w:szCs w:val="22"/>
        </w:rPr>
        <w:t>etc.</w:t>
      </w:r>
      <w:r w:rsidRPr="00D5509E">
        <w:rPr>
          <w:rFonts w:ascii="Times New Roman" w:hAnsi="Times New Roman" w:cs="Times New Roman"/>
          <w:sz w:val="22"/>
          <w:szCs w:val="22"/>
        </w:rPr>
        <w:t xml:space="preserve"> </w:t>
      </w:r>
    </w:p>
    <w:p w14:paraId="79042463" w14:textId="4217F2CE"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schedule of delivery of goods/performance of work/provision of </w:t>
      </w:r>
      <w:r w:rsidR="00994482" w:rsidRPr="00D5509E">
        <w:rPr>
          <w:rFonts w:ascii="Times New Roman" w:hAnsi="Times New Roman" w:cs="Times New Roman"/>
          <w:sz w:val="22"/>
          <w:szCs w:val="22"/>
        </w:rPr>
        <w:t>services.</w:t>
      </w:r>
      <w:r w:rsidRPr="00D5509E">
        <w:rPr>
          <w:rFonts w:ascii="Times New Roman" w:hAnsi="Times New Roman" w:cs="Times New Roman"/>
          <w:sz w:val="22"/>
          <w:szCs w:val="22"/>
        </w:rPr>
        <w:t xml:space="preserve"> </w:t>
      </w:r>
    </w:p>
    <w:p w14:paraId="2EF4DB8F" w14:textId="18AA0EB2"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methodology for performing work/providing services (if required</w:t>
      </w:r>
      <w:r w:rsidR="00994482"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0297BE84" w14:textId="2B786064"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licenses/permits, in accordance with the current legislation of the Kyrgyz Republic on the licensing and permitting system (if applicable), patents, </w:t>
      </w:r>
      <w:r w:rsidR="00994482" w:rsidRPr="00D5509E">
        <w:rPr>
          <w:rFonts w:ascii="Times New Roman" w:hAnsi="Times New Roman" w:cs="Times New Roman"/>
          <w:sz w:val="22"/>
          <w:szCs w:val="22"/>
        </w:rPr>
        <w:t>etc.</w:t>
      </w:r>
      <w:r w:rsidRPr="00D5509E">
        <w:rPr>
          <w:rFonts w:ascii="Times New Roman" w:hAnsi="Times New Roman" w:cs="Times New Roman"/>
          <w:sz w:val="22"/>
          <w:szCs w:val="22"/>
        </w:rPr>
        <w:t xml:space="preserve"> </w:t>
      </w:r>
    </w:p>
    <w:p w14:paraId="12747EF6" w14:textId="325BDA17"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Information on qualifications, with supporting documents on compliance with the established qualification requirements (letters of authorization, certificates, financial statements, copies of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confirming experience and acts of acceptance of goods, works and services</w:t>
      </w:r>
      <w:r w:rsidR="005657DC"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1A374EE8" w14:textId="07F7F72A"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Registration documents of the supplier: extract from the state register of legal entities, certificate of an individual entrepreneur, a copy of the Charter/Regulations of the participant, documents confirming the authority of the person who signed the Tender </w:t>
      </w:r>
      <w:r w:rsidR="005657DC" w:rsidRPr="00D5509E">
        <w:rPr>
          <w:rFonts w:ascii="Times New Roman" w:hAnsi="Times New Roman" w:cs="Times New Roman"/>
          <w:sz w:val="22"/>
          <w:szCs w:val="22"/>
        </w:rPr>
        <w:t>Bid.</w:t>
      </w:r>
      <w:r w:rsidRPr="00D5509E">
        <w:rPr>
          <w:rFonts w:ascii="Times New Roman" w:hAnsi="Times New Roman" w:cs="Times New Roman"/>
          <w:sz w:val="22"/>
          <w:szCs w:val="22"/>
        </w:rPr>
        <w:t xml:space="preserve"> </w:t>
      </w:r>
    </w:p>
    <w:p w14:paraId="56DAD2DA" w14:textId="0109EEA5"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Other documents </w:t>
      </w:r>
      <w:r w:rsidR="005657DC" w:rsidRPr="00D5509E">
        <w:rPr>
          <w:rFonts w:ascii="Times New Roman" w:hAnsi="Times New Roman" w:cs="Times New Roman"/>
          <w:sz w:val="22"/>
          <w:szCs w:val="22"/>
        </w:rPr>
        <w:t>are required</w:t>
      </w:r>
      <w:r w:rsidRPr="00D5509E">
        <w:rPr>
          <w:rFonts w:ascii="Times New Roman" w:hAnsi="Times New Roman" w:cs="Times New Roman"/>
          <w:sz w:val="22"/>
          <w:szCs w:val="22"/>
        </w:rPr>
        <w:t xml:space="preserve"> by the procurement documentation. </w:t>
      </w:r>
    </w:p>
    <w:p w14:paraId="23D7D45B" w14:textId="6ABD3B0F"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supplier</w:t>
      </w:r>
      <w:r w:rsidR="002F3BF9" w:rsidRPr="00D5509E">
        <w:rPr>
          <w:rFonts w:ascii="Times New Roman" w:hAnsi="Times New Roman" w:cs="Times New Roman"/>
          <w:sz w:val="22"/>
          <w:szCs w:val="22"/>
        </w:rPr>
        <w:t>’</w:t>
      </w:r>
      <w:r w:rsidRPr="00D5509E">
        <w:rPr>
          <w:rFonts w:ascii="Times New Roman" w:hAnsi="Times New Roman" w:cs="Times New Roman"/>
          <w:sz w:val="22"/>
          <w:szCs w:val="22"/>
        </w:rPr>
        <w:t xml:space="preserve">s price proposal must consist of the following documents: </w:t>
      </w:r>
    </w:p>
    <w:p w14:paraId="29FA74C3" w14:textId="3D1D74C7" w:rsidR="00363020" w:rsidRPr="00D5509E" w:rsidRDefault="002F3BF9">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Supplie</w:t>
      </w:r>
      <w:r w:rsidR="002B7E3D" w:rsidRPr="00D5509E">
        <w:rPr>
          <w:rFonts w:ascii="Times New Roman" w:hAnsi="Times New Roman" w:cs="Times New Roman"/>
          <w:sz w:val="22"/>
          <w:szCs w:val="22"/>
        </w:rPr>
        <w:t>r’</w:t>
      </w:r>
      <w:r w:rsidRPr="00D5509E">
        <w:rPr>
          <w:rFonts w:ascii="Times New Roman" w:hAnsi="Times New Roman" w:cs="Times New Roman"/>
          <w:sz w:val="22"/>
          <w:szCs w:val="22"/>
        </w:rPr>
        <w:t>s</w:t>
      </w:r>
      <w:r w:rsidR="00363020" w:rsidRPr="00D5509E">
        <w:rPr>
          <w:rFonts w:ascii="Times New Roman" w:hAnsi="Times New Roman" w:cs="Times New Roman"/>
          <w:sz w:val="22"/>
          <w:szCs w:val="22"/>
        </w:rPr>
        <w:t xml:space="preserve"> price proposal signed by the supplier</w:t>
      </w:r>
      <w:r w:rsidRPr="00D5509E">
        <w:rPr>
          <w:rFonts w:ascii="Times New Roman" w:hAnsi="Times New Roman" w:cs="Times New Roman"/>
          <w:sz w:val="22"/>
          <w:szCs w:val="22"/>
        </w:rPr>
        <w:t>’</w:t>
      </w:r>
      <w:r w:rsidR="00363020" w:rsidRPr="00D5509E">
        <w:rPr>
          <w:rFonts w:ascii="Times New Roman" w:hAnsi="Times New Roman" w:cs="Times New Roman"/>
          <w:sz w:val="22"/>
          <w:szCs w:val="22"/>
        </w:rPr>
        <w:t xml:space="preserve">s authorized person, including the use of an electronic </w:t>
      </w:r>
      <w:r w:rsidR="005657DC" w:rsidRPr="00D5509E">
        <w:rPr>
          <w:rFonts w:ascii="Times New Roman" w:hAnsi="Times New Roman" w:cs="Times New Roman"/>
          <w:sz w:val="22"/>
          <w:szCs w:val="22"/>
        </w:rPr>
        <w:t>signature.</w:t>
      </w:r>
      <w:r w:rsidR="00363020" w:rsidRPr="00D5509E">
        <w:rPr>
          <w:rFonts w:ascii="Times New Roman" w:hAnsi="Times New Roman" w:cs="Times New Roman"/>
          <w:sz w:val="22"/>
          <w:szCs w:val="22"/>
        </w:rPr>
        <w:t xml:space="preserve"> </w:t>
      </w:r>
    </w:p>
    <w:p w14:paraId="085E1E2E" w14:textId="15BBFB94"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table of prices for the supply of </w:t>
      </w:r>
      <w:r w:rsidR="005657DC" w:rsidRPr="00D5509E">
        <w:rPr>
          <w:rFonts w:ascii="Times New Roman" w:hAnsi="Times New Roman" w:cs="Times New Roman"/>
          <w:sz w:val="22"/>
          <w:szCs w:val="22"/>
        </w:rPr>
        <w:t>goods.</w:t>
      </w:r>
      <w:r w:rsidRPr="00D5509E">
        <w:rPr>
          <w:rFonts w:ascii="Times New Roman" w:hAnsi="Times New Roman" w:cs="Times New Roman"/>
          <w:sz w:val="22"/>
          <w:szCs w:val="22"/>
        </w:rPr>
        <w:t xml:space="preserve"> </w:t>
      </w:r>
    </w:p>
    <w:p w14:paraId="1DB88D2D" w14:textId="43A719D5"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statement of the scope of work/provision of services (for each type/name) indicating the cost including applicable </w:t>
      </w:r>
      <w:r w:rsidR="005657DC" w:rsidRPr="00D5509E">
        <w:rPr>
          <w:rFonts w:ascii="Times New Roman" w:hAnsi="Times New Roman" w:cs="Times New Roman"/>
          <w:sz w:val="22"/>
          <w:szCs w:val="22"/>
        </w:rPr>
        <w:t>taxes.</w:t>
      </w:r>
      <w:r w:rsidRPr="00D5509E">
        <w:rPr>
          <w:rFonts w:ascii="Times New Roman" w:hAnsi="Times New Roman" w:cs="Times New Roman"/>
          <w:sz w:val="22"/>
          <w:szCs w:val="22"/>
        </w:rPr>
        <w:t xml:space="preserve"> </w:t>
      </w:r>
    </w:p>
    <w:p w14:paraId="4C0CAF3E" w14:textId="77777777" w:rsidR="00363020" w:rsidRPr="00D5509E"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other documents required by the procurement documentation. </w:t>
      </w:r>
    </w:p>
    <w:p w14:paraId="1DABCAB2"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lastRenderedPageBreak/>
        <w:t xml:space="preserve">The tender application is submitted in electronic form, by uploading the completed forms and related documents in scanned form to the System. </w:t>
      </w:r>
    </w:p>
    <w:p w14:paraId="628BDB17"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Each supplier can submit only one proposal for participation in the procurement - either independently or as part of a simple partnership. If a supplier has submitted more than one proposal - either alone or as part of a simple partnership - all proposals of this supplier will be rejected. </w:t>
      </w:r>
    </w:p>
    <w:p w14:paraId="2A60E5B0" w14:textId="3010E2D2"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 tenderer may amend, </w:t>
      </w:r>
      <w:r w:rsidR="00204432" w:rsidRPr="00D5509E">
        <w:rPr>
          <w:rFonts w:ascii="Times New Roman" w:hAnsi="Times New Roman" w:cs="Times New Roman"/>
          <w:sz w:val="22"/>
          <w:szCs w:val="22"/>
        </w:rPr>
        <w:t>replace,</w:t>
      </w:r>
      <w:r w:rsidRPr="00D5509E">
        <w:rPr>
          <w:rFonts w:ascii="Times New Roman" w:hAnsi="Times New Roman" w:cs="Times New Roman"/>
          <w:sz w:val="22"/>
          <w:szCs w:val="22"/>
        </w:rPr>
        <w:t xml:space="preserve"> or withdraw its Tender Bid after its submission in the System before the expiry of the deadline for submission of tenders set forth in the Invitation of the Procuring Entity. </w:t>
      </w:r>
    </w:p>
    <w:p w14:paraId="62584CBA"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Supplier may request clarification on the provisions of the procurement documentation through the System no later than 3 (three) business days prior to the expiry of the deadline for submission of bids through the System. The procuring entity shall, no later than two (2) working days, respond to such request through the System. </w:t>
      </w:r>
    </w:p>
    <w:p w14:paraId="708479D2"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case of amendments to the procurement documentation, the deadline for submission of bids shall be extended for a period of at least 5 (five) business days. At the same time, the System automatically sends notifications to all participants about the extension of the deadlines. </w:t>
      </w:r>
    </w:p>
    <w:p w14:paraId="25426FF7" w14:textId="77777777"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procuring entity is permitted to clarify aspects of the description of the subject matter of the procurement by: </w:t>
      </w:r>
    </w:p>
    <w:p w14:paraId="00CE282F" w14:textId="19A3E14B"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Deletion or modification of any aspect of the originally specified technical, </w:t>
      </w:r>
      <w:r w:rsidR="00204432" w:rsidRPr="00D5509E">
        <w:rPr>
          <w:rFonts w:ascii="Times New Roman" w:hAnsi="Times New Roman" w:cs="Times New Roman"/>
          <w:sz w:val="22"/>
          <w:szCs w:val="22"/>
        </w:rPr>
        <w:t>quality,</w:t>
      </w:r>
      <w:r w:rsidRPr="00D5509E">
        <w:rPr>
          <w:rFonts w:ascii="Times New Roman" w:hAnsi="Times New Roman" w:cs="Times New Roman"/>
          <w:sz w:val="22"/>
          <w:szCs w:val="22"/>
        </w:rPr>
        <w:t xml:space="preserve"> or performance characteristics of the subject of procurement and the addition of new characteristics that meet the requirements of the Model </w:t>
      </w:r>
      <w:r w:rsidR="005657DC" w:rsidRPr="00D5509E">
        <w:rPr>
          <w:rFonts w:ascii="Times New Roman" w:hAnsi="Times New Roman" w:cs="Times New Roman"/>
          <w:sz w:val="22"/>
          <w:szCs w:val="22"/>
        </w:rPr>
        <w:t>Policy.</w:t>
      </w:r>
      <w:r w:rsidRPr="00D5509E">
        <w:rPr>
          <w:rFonts w:ascii="Times New Roman" w:hAnsi="Times New Roman" w:cs="Times New Roman"/>
          <w:sz w:val="22"/>
          <w:szCs w:val="22"/>
        </w:rPr>
        <w:t xml:space="preserve"> </w:t>
      </w:r>
    </w:p>
    <w:p w14:paraId="7FE83131" w14:textId="5B3E62DC"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Deletion or modification of any of the original criteria for the consideration or evaluation of a proposal, or the inclusion of new criteria that meet the requirements of the Model Policy, if those criteria relate to a change in the technical, quality or performance characteristics of the subject matter of the </w:t>
      </w:r>
      <w:r w:rsidR="005657DC" w:rsidRPr="00D5509E">
        <w:rPr>
          <w:rFonts w:ascii="Times New Roman" w:hAnsi="Times New Roman" w:cs="Times New Roman"/>
          <w:sz w:val="22"/>
          <w:szCs w:val="22"/>
        </w:rPr>
        <w:t>procurement.</w:t>
      </w:r>
      <w:r w:rsidRPr="00D5509E">
        <w:rPr>
          <w:rFonts w:ascii="Times New Roman" w:hAnsi="Times New Roman" w:cs="Times New Roman"/>
          <w:sz w:val="22"/>
          <w:szCs w:val="22"/>
        </w:rPr>
        <w:t xml:space="preserve"> </w:t>
      </w:r>
    </w:p>
    <w:p w14:paraId="09B425C2" w14:textId="4A861AAC" w:rsidR="00363020" w:rsidRPr="00D5509E"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communicate any deletion, </w:t>
      </w:r>
      <w:r w:rsidR="00204432" w:rsidRPr="00D5509E">
        <w:rPr>
          <w:rFonts w:ascii="Times New Roman" w:hAnsi="Times New Roman" w:cs="Times New Roman"/>
          <w:sz w:val="22"/>
          <w:szCs w:val="22"/>
        </w:rPr>
        <w:t>modification,</w:t>
      </w:r>
      <w:r w:rsidRPr="00D5509E">
        <w:rPr>
          <w:rFonts w:ascii="Times New Roman" w:hAnsi="Times New Roman" w:cs="Times New Roman"/>
          <w:sz w:val="22"/>
          <w:szCs w:val="22"/>
        </w:rPr>
        <w:t xml:space="preserve"> or inclusion to submit final proposals. </w:t>
      </w:r>
    </w:p>
    <w:p w14:paraId="64D40685" w14:textId="345299BA" w:rsidR="00363020" w:rsidRPr="00D5509E" w:rsidRDefault="00363020"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b/>
          <w:bCs/>
          <w:sz w:val="22"/>
          <w:szCs w:val="22"/>
        </w:rPr>
        <w:t xml:space="preserve">Validity period of the </w:t>
      </w:r>
      <w:r w:rsidR="00BA4B83" w:rsidRPr="00D5509E">
        <w:rPr>
          <w:rFonts w:ascii="Times New Roman" w:hAnsi="Times New Roman" w:cs="Times New Roman"/>
          <w:b/>
          <w:bCs/>
          <w:sz w:val="22"/>
          <w:szCs w:val="22"/>
        </w:rPr>
        <w:t>S</w:t>
      </w:r>
      <w:r w:rsidRPr="00D5509E">
        <w:rPr>
          <w:rFonts w:ascii="Times New Roman" w:hAnsi="Times New Roman" w:cs="Times New Roman"/>
          <w:b/>
          <w:bCs/>
          <w:sz w:val="22"/>
          <w:szCs w:val="22"/>
        </w:rPr>
        <w:t>upplier</w:t>
      </w:r>
      <w:r w:rsidR="00BA4B83" w:rsidRPr="00D5509E">
        <w:rPr>
          <w:rFonts w:ascii="Times New Roman" w:hAnsi="Times New Roman" w:cs="Times New Roman"/>
          <w:b/>
          <w:bCs/>
          <w:sz w:val="22"/>
          <w:szCs w:val="22"/>
        </w:rPr>
        <w:t>’</w:t>
      </w:r>
      <w:r w:rsidRPr="00D5509E">
        <w:rPr>
          <w:rFonts w:ascii="Times New Roman" w:hAnsi="Times New Roman" w:cs="Times New Roman"/>
          <w:b/>
          <w:bCs/>
          <w:sz w:val="22"/>
          <w:szCs w:val="22"/>
        </w:rPr>
        <w:t xml:space="preserve">s proposal </w:t>
      </w:r>
    </w:p>
    <w:p w14:paraId="350AFBB3" w14:textId="1D6BB9EC" w:rsidR="00363020" w:rsidRPr="00D5509E"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Validity period of the supplier</w:t>
      </w:r>
      <w:r w:rsidR="00032A5C"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0166E4A3" w14:textId="179A2FFB" w:rsidR="00363020" w:rsidRPr="00D5509E"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supplier</w:t>
      </w:r>
      <w:r w:rsidR="00032A5C" w:rsidRPr="00D5509E">
        <w:rPr>
          <w:rFonts w:ascii="Times New Roman" w:hAnsi="Times New Roman" w:cs="Times New Roman"/>
          <w:sz w:val="22"/>
          <w:szCs w:val="22"/>
        </w:rPr>
        <w:t>’</w:t>
      </w:r>
      <w:r w:rsidRPr="00D5509E">
        <w:rPr>
          <w:rFonts w:ascii="Times New Roman" w:hAnsi="Times New Roman" w:cs="Times New Roman"/>
          <w:sz w:val="22"/>
          <w:szCs w:val="22"/>
        </w:rPr>
        <w:t>s bid shall be valid for the period specified in the tender documentation. The validity period of the supplier</w:t>
      </w:r>
      <w:r w:rsidR="00032A5C" w:rsidRPr="00D5509E">
        <w:rPr>
          <w:rFonts w:ascii="Times New Roman" w:hAnsi="Times New Roman" w:cs="Times New Roman"/>
          <w:sz w:val="22"/>
          <w:szCs w:val="22"/>
        </w:rPr>
        <w:t>’</w:t>
      </w:r>
      <w:r w:rsidRPr="00D5509E">
        <w:rPr>
          <w:rFonts w:ascii="Times New Roman" w:hAnsi="Times New Roman" w:cs="Times New Roman"/>
          <w:sz w:val="22"/>
          <w:szCs w:val="22"/>
        </w:rPr>
        <w:t>s bid shall commence on the date set by the Customer as the deadline for submission of bids. A supplier</w:t>
      </w:r>
      <w:r w:rsidR="00032A5C"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CF3360"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valid for a shorter period will be rejected by the Customer as not meeting the </w:t>
      </w:r>
      <w:r w:rsidR="005657DC" w:rsidRPr="00D5509E">
        <w:rPr>
          <w:rFonts w:ascii="Times New Roman" w:hAnsi="Times New Roman" w:cs="Times New Roman"/>
          <w:sz w:val="22"/>
          <w:szCs w:val="22"/>
        </w:rPr>
        <w:t>requirements.</w:t>
      </w:r>
      <w:r w:rsidRPr="00D5509E">
        <w:rPr>
          <w:rFonts w:ascii="Times New Roman" w:hAnsi="Times New Roman" w:cs="Times New Roman"/>
          <w:sz w:val="22"/>
          <w:szCs w:val="22"/>
        </w:rPr>
        <w:t xml:space="preserve"> </w:t>
      </w:r>
    </w:p>
    <w:p w14:paraId="635DF630" w14:textId="589AB564" w:rsidR="00363020" w:rsidRPr="00D5509E"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supplier</w:t>
      </w:r>
      <w:r w:rsidR="00CF3360"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proposal shall be valid and may not be amended or withdrawn within the period specified by the supplier, in exceptional cases, if the evaluation and signing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cannot be completed within the period of validity of the Proposal, the procuring entity may request the supplier to extend the validity of the proposal for a specified period through the System; </w:t>
      </w:r>
    </w:p>
    <w:p w14:paraId="26BA7964" w14:textId="64200445" w:rsidR="00363020" w:rsidRPr="00D5509E"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it is not allowed to extend the period after the expiration of the validity period of the Supplier</w:t>
      </w:r>
      <w:r w:rsidR="00E05A39"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proposals. The Supplier shall have the right to refuse a request to extend the validity of its </w:t>
      </w:r>
      <w:r w:rsidR="0068712A"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without losing the right to return the Supplier</w:t>
      </w:r>
      <w:r w:rsidR="0068712A" w:rsidRPr="00D5509E">
        <w:rPr>
          <w:rFonts w:ascii="Times New Roman" w:hAnsi="Times New Roman" w:cs="Times New Roman"/>
          <w:sz w:val="22"/>
          <w:szCs w:val="22"/>
        </w:rPr>
        <w:t>’</w:t>
      </w:r>
      <w:r w:rsidRPr="00D5509E">
        <w:rPr>
          <w:rFonts w:ascii="Times New Roman" w:hAnsi="Times New Roman" w:cs="Times New Roman"/>
          <w:sz w:val="22"/>
          <w:szCs w:val="22"/>
        </w:rPr>
        <w:t xml:space="preserve">s Bid Guarantee </w:t>
      </w:r>
      <w:r w:rsidR="005657DC" w:rsidRPr="00D5509E">
        <w:rPr>
          <w:rFonts w:ascii="Times New Roman" w:hAnsi="Times New Roman" w:cs="Times New Roman"/>
          <w:sz w:val="22"/>
          <w:szCs w:val="22"/>
        </w:rPr>
        <w:t>Bond.</w:t>
      </w:r>
      <w:r w:rsidRPr="00D5509E">
        <w:rPr>
          <w:rFonts w:ascii="Times New Roman" w:hAnsi="Times New Roman" w:cs="Times New Roman"/>
          <w:sz w:val="22"/>
          <w:szCs w:val="22"/>
        </w:rPr>
        <w:t xml:space="preserve"> </w:t>
      </w:r>
    </w:p>
    <w:p w14:paraId="5ACFAA1F" w14:textId="1E587691" w:rsidR="00363020" w:rsidRPr="00D5509E"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If, in accordance with the procurement documentation, a security for the tender bid by a bank guarantee is requested, it shall also be extended for 14 days after the expiry of the extended validity period of the supplier's tender. The supplier who has satisfied the request shall not be obliged and shall not have the right to change its tender </w:t>
      </w:r>
      <w:r w:rsidR="005657DC"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6BBE5B53" w14:textId="494B13FC" w:rsidR="00363020" w:rsidRPr="00D5509E"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Suppliers have the right not to extend the validity period of </w:t>
      </w:r>
      <w:r w:rsidR="00184732" w:rsidRPr="00D5509E">
        <w:rPr>
          <w:rFonts w:ascii="Times New Roman" w:hAnsi="Times New Roman" w:cs="Times New Roman"/>
          <w:sz w:val="22"/>
          <w:szCs w:val="22"/>
        </w:rPr>
        <w:t>proposals</w:t>
      </w:r>
      <w:r w:rsidRPr="00D5509E">
        <w:rPr>
          <w:rFonts w:ascii="Times New Roman" w:hAnsi="Times New Roman" w:cs="Times New Roman"/>
          <w:sz w:val="22"/>
          <w:szCs w:val="22"/>
        </w:rPr>
        <w:t xml:space="preserve">, in which case their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is subject to rejection. </w:t>
      </w:r>
    </w:p>
    <w:p w14:paraId="6BADAC2E" w14:textId="77777777" w:rsidR="00D84034" w:rsidRPr="00D5509E" w:rsidRDefault="00D84034" w:rsidP="00E006AB">
      <w:pPr>
        <w:tabs>
          <w:tab w:val="left" w:pos="450"/>
        </w:tabs>
        <w:spacing w:after="0"/>
        <w:jc w:val="both"/>
        <w:rPr>
          <w:rFonts w:ascii="Times New Roman" w:hAnsi="Times New Roman" w:cs="Times New Roman"/>
          <w:b/>
          <w:bCs/>
          <w:sz w:val="22"/>
          <w:szCs w:val="22"/>
        </w:rPr>
      </w:pPr>
    </w:p>
    <w:p w14:paraId="3DF6C23D" w14:textId="77777777" w:rsidR="00D84034" w:rsidRPr="00D5509E" w:rsidRDefault="00D84034" w:rsidP="00E006AB">
      <w:pPr>
        <w:tabs>
          <w:tab w:val="left" w:pos="450"/>
        </w:tabs>
        <w:spacing w:after="0"/>
        <w:jc w:val="both"/>
        <w:rPr>
          <w:rFonts w:ascii="Times New Roman" w:hAnsi="Times New Roman" w:cs="Times New Roman"/>
          <w:b/>
          <w:bCs/>
          <w:sz w:val="22"/>
          <w:szCs w:val="22"/>
        </w:rPr>
      </w:pPr>
    </w:p>
    <w:p w14:paraId="3CF0A205" w14:textId="322E86D1" w:rsidR="00363020" w:rsidRPr="00D5509E" w:rsidRDefault="00363020"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b/>
          <w:bCs/>
          <w:sz w:val="22"/>
          <w:szCs w:val="22"/>
        </w:rPr>
        <w:t xml:space="preserve">Price and currency of the tender bid </w:t>
      </w:r>
    </w:p>
    <w:p w14:paraId="76847813" w14:textId="388B16F1" w:rsidR="00363020" w:rsidRPr="00D5509E"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prices quoted by the supplier must include all costs, taxes, </w:t>
      </w:r>
      <w:r w:rsidR="00204432" w:rsidRPr="00D5509E">
        <w:rPr>
          <w:rFonts w:ascii="Times New Roman" w:hAnsi="Times New Roman" w:cs="Times New Roman"/>
          <w:sz w:val="22"/>
          <w:szCs w:val="22"/>
        </w:rPr>
        <w:t>duties,</w:t>
      </w:r>
      <w:r w:rsidRPr="00D5509E">
        <w:rPr>
          <w:rFonts w:ascii="Times New Roman" w:hAnsi="Times New Roman" w:cs="Times New Roman"/>
          <w:sz w:val="22"/>
          <w:szCs w:val="22"/>
        </w:rPr>
        <w:t xml:space="preserve"> and fees paid by the supplier in connection with the supply of goods, the performance of work or the provision of services. </w:t>
      </w:r>
    </w:p>
    <w:p w14:paraId="52FF6989" w14:textId="6B325119" w:rsidR="00363020" w:rsidRPr="00D5509E"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lastRenderedPageBreak/>
        <w:t xml:space="preserve">The prices </w:t>
      </w:r>
      <w:r w:rsidR="00610AFC" w:rsidRPr="00D5509E">
        <w:rPr>
          <w:rFonts w:ascii="Times New Roman" w:hAnsi="Times New Roman" w:cs="Times New Roman"/>
          <w:sz w:val="22"/>
          <w:szCs w:val="22"/>
        </w:rPr>
        <w:t>quoted</w:t>
      </w:r>
      <w:r w:rsidRPr="00D5509E">
        <w:rPr>
          <w:rFonts w:ascii="Times New Roman" w:hAnsi="Times New Roman" w:cs="Times New Roman"/>
          <w:sz w:val="22"/>
          <w:szCs w:val="22"/>
        </w:rPr>
        <w:t xml:space="preserve"> by the supplier shall remain fixed for the duration of the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and the performance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and shall not change under any circumstances, except in the event of a change in tax legislation. A proposal that allows for price changes will be considered as not meeting the basic conditions of the procurement documentation and shall be rejected. </w:t>
      </w:r>
    </w:p>
    <w:p w14:paraId="2B8097B2" w14:textId="0DD38E2A" w:rsidR="00363020" w:rsidRPr="00D5509E"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Prices must be indicated in the currency provided for in the procurement documentation. In cases where a foreign currency is established, then payment under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shall be made in the national currency in the amount equivalent to the foreign currency, at the official exchange rate of the relevant currency established by the National Bank of the Kyrgyz Republic on the day of payment, or at a fixed rate in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w:t>
      </w:r>
    </w:p>
    <w:p w14:paraId="1239B86F" w14:textId="1C35AC3C" w:rsidR="00363020" w:rsidRPr="00D5509E" w:rsidRDefault="00BC2A2F"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b/>
          <w:bCs/>
          <w:sz w:val="22"/>
          <w:szCs w:val="22"/>
        </w:rPr>
        <w:t>Tender bid bond guarantee</w:t>
      </w:r>
    </w:p>
    <w:p w14:paraId="4B652AF4" w14:textId="47C23FD0" w:rsidR="00363020" w:rsidRPr="00D5509E" w:rsidRDefault="007E6E12">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Tender bid bond guarantee </w:t>
      </w:r>
      <w:r w:rsidR="00363020" w:rsidRPr="00D5509E">
        <w:rPr>
          <w:rFonts w:ascii="Times New Roman" w:hAnsi="Times New Roman" w:cs="Times New Roman"/>
          <w:sz w:val="22"/>
          <w:szCs w:val="22"/>
        </w:rPr>
        <w:t xml:space="preserve">(hereinafter referred to as the </w:t>
      </w:r>
      <w:r w:rsidRPr="00D5509E">
        <w:rPr>
          <w:rFonts w:ascii="Times New Roman" w:hAnsi="Times New Roman" w:cs="Times New Roman"/>
          <w:sz w:val="22"/>
          <w:szCs w:val="22"/>
        </w:rPr>
        <w:t>TBBG</w:t>
      </w:r>
      <w:r w:rsidR="00363020" w:rsidRPr="00D5509E">
        <w:rPr>
          <w:rFonts w:ascii="Times New Roman" w:hAnsi="Times New Roman" w:cs="Times New Roman"/>
          <w:sz w:val="22"/>
          <w:szCs w:val="22"/>
        </w:rPr>
        <w:t xml:space="preserve">) shall be applied if such a requirement is established by the procuring organization. In this case, the </w:t>
      </w:r>
      <w:r w:rsidRPr="00D5509E">
        <w:rPr>
          <w:rFonts w:ascii="Times New Roman" w:hAnsi="Times New Roman" w:cs="Times New Roman"/>
          <w:sz w:val="22"/>
          <w:szCs w:val="22"/>
        </w:rPr>
        <w:t xml:space="preserve">bond </w:t>
      </w:r>
      <w:r w:rsidR="00363020" w:rsidRPr="00D5509E">
        <w:rPr>
          <w:rFonts w:ascii="Times New Roman" w:hAnsi="Times New Roman" w:cs="Times New Roman"/>
          <w:sz w:val="22"/>
          <w:szCs w:val="22"/>
        </w:rPr>
        <w:t>guarantee of the supplier</w:t>
      </w:r>
      <w:r w:rsidRPr="00D5509E">
        <w:rPr>
          <w:rFonts w:ascii="Times New Roman" w:hAnsi="Times New Roman" w:cs="Times New Roman"/>
          <w:sz w:val="22"/>
          <w:szCs w:val="22"/>
        </w:rPr>
        <w:t>’</w:t>
      </w:r>
      <w:r w:rsidR="00363020" w:rsidRPr="00D5509E">
        <w:rPr>
          <w:rFonts w:ascii="Times New Roman" w:hAnsi="Times New Roman" w:cs="Times New Roman"/>
          <w:sz w:val="22"/>
          <w:szCs w:val="22"/>
        </w:rPr>
        <w:t xml:space="preserve">s tender bid may be carried out: </w:t>
      </w:r>
    </w:p>
    <w:p w14:paraId="032DA810" w14:textId="58753482"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in cash in </w:t>
      </w:r>
      <w:r w:rsidR="005657DC" w:rsidRPr="00D5509E">
        <w:rPr>
          <w:rFonts w:ascii="Times New Roman" w:hAnsi="Times New Roman" w:cs="Times New Roman"/>
          <w:sz w:val="22"/>
          <w:szCs w:val="22"/>
        </w:rPr>
        <w:t>an</w:t>
      </w:r>
      <w:r w:rsidRPr="00D5509E">
        <w:rPr>
          <w:rFonts w:ascii="Times New Roman" w:hAnsi="Times New Roman" w:cs="Times New Roman"/>
          <w:sz w:val="22"/>
          <w:szCs w:val="22"/>
        </w:rPr>
        <w:t xml:space="preserve"> amount not exceeding 2 per cent of the planned value of the subject of procurement, which shall be paid into the settlement account of the procuring </w:t>
      </w:r>
      <w:r w:rsidR="005657DC" w:rsidRPr="00D5509E">
        <w:rPr>
          <w:rFonts w:ascii="Times New Roman" w:hAnsi="Times New Roman" w:cs="Times New Roman"/>
          <w:sz w:val="22"/>
          <w:szCs w:val="22"/>
        </w:rPr>
        <w:t>entity.</w:t>
      </w:r>
      <w:r w:rsidRPr="00D5509E">
        <w:rPr>
          <w:rFonts w:ascii="Times New Roman" w:hAnsi="Times New Roman" w:cs="Times New Roman"/>
          <w:sz w:val="22"/>
          <w:szCs w:val="22"/>
        </w:rPr>
        <w:t xml:space="preserve"> </w:t>
      </w:r>
    </w:p>
    <w:p w14:paraId="099523FD" w14:textId="0CEC8F49"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in the form of a bank </w:t>
      </w:r>
      <w:r w:rsidR="005657DC" w:rsidRPr="00D5509E">
        <w:rPr>
          <w:rFonts w:ascii="Times New Roman" w:hAnsi="Times New Roman" w:cs="Times New Roman"/>
          <w:sz w:val="22"/>
          <w:szCs w:val="22"/>
        </w:rPr>
        <w:t>guarantee.</w:t>
      </w:r>
      <w:r w:rsidRPr="00D5509E">
        <w:rPr>
          <w:rFonts w:ascii="Times New Roman" w:hAnsi="Times New Roman" w:cs="Times New Roman"/>
          <w:sz w:val="22"/>
          <w:szCs w:val="22"/>
        </w:rPr>
        <w:t xml:space="preserve"> </w:t>
      </w:r>
    </w:p>
    <w:p w14:paraId="399260E7" w14:textId="597CCF2F"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in the form of a declaration guaranteeing the Supplier</w:t>
      </w:r>
      <w:r w:rsidR="009C36CB"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9C36CB"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3F9C4D09" w14:textId="63E16578"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case of payment of </w:t>
      </w:r>
      <w:r w:rsidR="009C36CB"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in cash, the supplier is obliged to pay and attach documentary evidence of payment for </w:t>
      </w:r>
      <w:r w:rsidR="009C36CB"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and in case of submission of a Bid not for all lots, payment is made in proportion to the lots for which the Bid is submitted. </w:t>
      </w:r>
    </w:p>
    <w:p w14:paraId="6A4415A1" w14:textId="77777777"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addition, the supplier shall ensure the receipt of funds to the settlement account of the procuring entity, indicating the purchase number until the bids are opened. </w:t>
      </w:r>
    </w:p>
    <w:p w14:paraId="50FEA6A4" w14:textId="574A8E7C"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w:t>
      </w:r>
      <w:r w:rsidR="00426DF4"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must be valid for 14 days after the initial term of the supplier</w:t>
      </w:r>
      <w:r w:rsidR="000F7AFE" w:rsidRPr="00D5509E">
        <w:rPr>
          <w:rFonts w:ascii="Times New Roman" w:hAnsi="Times New Roman" w:cs="Times New Roman"/>
          <w:sz w:val="22"/>
          <w:szCs w:val="22"/>
        </w:rPr>
        <w:t>’s</w:t>
      </w:r>
      <w:r w:rsidRPr="00D5509E">
        <w:rPr>
          <w:rFonts w:ascii="Times New Roman" w:hAnsi="Times New Roman" w:cs="Times New Roman"/>
          <w:sz w:val="22"/>
          <w:szCs w:val="22"/>
        </w:rPr>
        <w:t xml:space="preserve"> </w:t>
      </w:r>
      <w:r w:rsidR="000F7AFE"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or after any renewal period if requested. </w:t>
      </w:r>
    </w:p>
    <w:p w14:paraId="544BC3A9" w14:textId="2041028B"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Payment for </w:t>
      </w:r>
      <w:r w:rsidR="000109A6"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by participants in a simple partnership is carried out by any of the partners. In the case of a simple partnership (consortium), if the </w:t>
      </w:r>
      <w:r w:rsidR="00FB5081" w:rsidRPr="00D5509E">
        <w:rPr>
          <w:rFonts w:ascii="Times New Roman" w:hAnsi="Times New Roman" w:cs="Times New Roman"/>
          <w:sz w:val="22"/>
          <w:szCs w:val="22"/>
        </w:rPr>
        <w:t xml:space="preserve">bond </w:t>
      </w:r>
      <w:r w:rsidRPr="00D5509E">
        <w:rPr>
          <w:rFonts w:ascii="Times New Roman" w:hAnsi="Times New Roman" w:cs="Times New Roman"/>
          <w:sz w:val="22"/>
          <w:szCs w:val="22"/>
        </w:rPr>
        <w:t xml:space="preserve">guarantee is submitted in the form of a bank guarantee, the bank guarantee must be issued in the name of the simple partnership (consortium). </w:t>
      </w:r>
    </w:p>
    <w:p w14:paraId="799DFB50" w14:textId="2A337917"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supplier</w:t>
      </w:r>
      <w:r w:rsidR="00FB5081"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FB5081"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is withheld in the following cases: </w:t>
      </w:r>
    </w:p>
    <w:p w14:paraId="3CBF32DC" w14:textId="68D34FF4"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refusal to sign </w:t>
      </w:r>
      <w:r w:rsidR="00F02E27" w:rsidRPr="00D5509E">
        <w:rPr>
          <w:rFonts w:ascii="Times New Roman" w:hAnsi="Times New Roman" w:cs="Times New Roman"/>
          <w:sz w:val="22"/>
          <w:szCs w:val="22"/>
        </w:rPr>
        <w:t>an</w:t>
      </w:r>
      <w:r w:rsidRPr="00D5509E">
        <w:rPr>
          <w:rFonts w:ascii="Times New Roman" w:hAnsi="Times New Roman" w:cs="Times New Roman"/>
          <w:sz w:val="22"/>
          <w:szCs w:val="22"/>
        </w:rPr>
        <w:t xml:space="preserv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on the terms of the procurement documentation and provided for in the supplier</w:t>
      </w:r>
      <w:r w:rsidR="00FB5081"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proposal, except for cases where such refusal is related to the introduction of a state of emergency, a state of emergency or force majeure, provided that the procurement announcement is published before the introduction of such a regime or before the occurrence of such circumstances; </w:t>
      </w:r>
    </w:p>
    <w:p w14:paraId="0E0EF313" w14:textId="73DCC8B1"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withdrawing the </w:t>
      </w:r>
      <w:r w:rsidR="00FA62EF" w:rsidRPr="00D5509E">
        <w:rPr>
          <w:rFonts w:ascii="Times New Roman" w:hAnsi="Times New Roman" w:cs="Times New Roman"/>
          <w:sz w:val="22"/>
          <w:szCs w:val="22"/>
        </w:rPr>
        <w:t>s</w:t>
      </w:r>
      <w:r w:rsidRPr="00D5509E">
        <w:rPr>
          <w:rFonts w:ascii="Times New Roman" w:hAnsi="Times New Roman" w:cs="Times New Roman"/>
          <w:sz w:val="22"/>
          <w:szCs w:val="22"/>
        </w:rPr>
        <w:t>upplier</w:t>
      </w:r>
      <w:r w:rsidR="00FA62EF"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FA62EF"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after its opening and before its </w:t>
      </w:r>
      <w:r w:rsidR="005657DC" w:rsidRPr="00D5509E">
        <w:rPr>
          <w:rFonts w:ascii="Times New Roman" w:hAnsi="Times New Roman" w:cs="Times New Roman"/>
          <w:sz w:val="22"/>
          <w:szCs w:val="22"/>
        </w:rPr>
        <w:t>expiration.</w:t>
      </w:r>
      <w:r w:rsidRPr="00D5509E">
        <w:rPr>
          <w:rFonts w:ascii="Times New Roman" w:hAnsi="Times New Roman" w:cs="Times New Roman"/>
          <w:sz w:val="22"/>
          <w:szCs w:val="22"/>
        </w:rPr>
        <w:t xml:space="preserve"> </w:t>
      </w:r>
    </w:p>
    <w:p w14:paraId="6E8FC883" w14:textId="02DD252B"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w:t>
      </w:r>
      <w:r w:rsidR="00E7340C" w:rsidRPr="00D5509E">
        <w:rPr>
          <w:rFonts w:ascii="Times New Roman" w:hAnsi="Times New Roman" w:cs="Times New Roman"/>
          <w:sz w:val="22"/>
          <w:szCs w:val="22"/>
        </w:rPr>
        <w:t>f</w:t>
      </w:r>
      <w:r w:rsidRPr="00D5509E">
        <w:rPr>
          <w:rFonts w:ascii="Times New Roman" w:hAnsi="Times New Roman" w:cs="Times New Roman"/>
          <w:sz w:val="22"/>
          <w:szCs w:val="22"/>
        </w:rPr>
        <w:t xml:space="preserve">ailure to accept the correction of arithmetic </w:t>
      </w:r>
      <w:r w:rsidR="005657DC" w:rsidRPr="00D5509E">
        <w:rPr>
          <w:rFonts w:ascii="Times New Roman" w:hAnsi="Times New Roman" w:cs="Times New Roman"/>
          <w:sz w:val="22"/>
          <w:szCs w:val="22"/>
        </w:rPr>
        <w:t>errors.</w:t>
      </w:r>
      <w:r w:rsidRPr="00D5509E">
        <w:rPr>
          <w:rFonts w:ascii="Times New Roman" w:hAnsi="Times New Roman" w:cs="Times New Roman"/>
          <w:sz w:val="22"/>
          <w:szCs w:val="22"/>
        </w:rPr>
        <w:t xml:space="preserve"> </w:t>
      </w:r>
    </w:p>
    <w:p w14:paraId="1D0C34AA" w14:textId="46E3E551"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 refusal to provide a </w:t>
      </w:r>
      <w:r w:rsidR="003071D4" w:rsidRPr="00D5509E">
        <w:rPr>
          <w:rFonts w:ascii="Times New Roman" w:hAnsi="Times New Roman" w:cs="Times New Roman"/>
          <w:sz w:val="22"/>
          <w:szCs w:val="22"/>
        </w:rPr>
        <w:t xml:space="preserve">bond </w:t>
      </w:r>
      <w:r w:rsidRPr="00D5509E">
        <w:rPr>
          <w:rFonts w:ascii="Times New Roman" w:hAnsi="Times New Roman" w:cs="Times New Roman"/>
          <w:sz w:val="22"/>
          <w:szCs w:val="22"/>
        </w:rPr>
        <w:t>guarantee</w:t>
      </w:r>
      <w:r w:rsidR="003071D4"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for the performance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if such a requirement is established by the procurement documentation. </w:t>
      </w:r>
    </w:p>
    <w:p w14:paraId="784D26F6" w14:textId="68520436" w:rsidR="00363020" w:rsidRPr="00D5509E"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above grounds for withholding </w:t>
      </w:r>
      <w:r w:rsidR="003071D4" w:rsidRPr="00D5509E">
        <w:rPr>
          <w:rFonts w:ascii="Times New Roman" w:hAnsi="Times New Roman" w:cs="Times New Roman"/>
          <w:sz w:val="22"/>
          <w:szCs w:val="22"/>
        </w:rPr>
        <w:t>TBBG</w:t>
      </w:r>
      <w:r w:rsidRPr="00D5509E">
        <w:rPr>
          <w:rFonts w:ascii="Times New Roman" w:hAnsi="Times New Roman" w:cs="Times New Roman"/>
          <w:sz w:val="22"/>
          <w:szCs w:val="22"/>
        </w:rPr>
        <w:t xml:space="preserve"> must be reflected in the bank guarantee. </w:t>
      </w:r>
    </w:p>
    <w:p w14:paraId="42DC96F7" w14:textId="6F61F9B9" w:rsidR="00363020" w:rsidRPr="00D5509E" w:rsidRDefault="003071D4">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TBBG</w:t>
      </w:r>
      <w:r w:rsidR="00363020" w:rsidRPr="00D5509E">
        <w:rPr>
          <w:rFonts w:ascii="Times New Roman" w:hAnsi="Times New Roman" w:cs="Times New Roman"/>
          <w:sz w:val="22"/>
          <w:szCs w:val="22"/>
        </w:rPr>
        <w:t xml:space="preserve"> shall be returned to the Tender Participants in the same amount and currency in which it was provided, after signing an agreement with the winner of the tender and providing a guarantee for the performance of the </w:t>
      </w:r>
      <w:r w:rsidR="00DA303D" w:rsidRPr="00D5509E">
        <w:rPr>
          <w:rFonts w:ascii="Times New Roman" w:hAnsi="Times New Roman" w:cs="Times New Roman"/>
          <w:sz w:val="22"/>
          <w:szCs w:val="22"/>
        </w:rPr>
        <w:t>agreement</w:t>
      </w:r>
      <w:r w:rsidR="00363020" w:rsidRPr="00D5509E">
        <w:rPr>
          <w:rFonts w:ascii="Times New Roman" w:hAnsi="Times New Roman" w:cs="Times New Roman"/>
          <w:sz w:val="22"/>
          <w:szCs w:val="22"/>
        </w:rPr>
        <w:t xml:space="preserve"> (if required) or after the expiration of the </w:t>
      </w:r>
      <w:r w:rsidR="001E7662" w:rsidRPr="00D5509E">
        <w:rPr>
          <w:rFonts w:ascii="Times New Roman" w:hAnsi="Times New Roman" w:cs="Times New Roman"/>
          <w:sz w:val="22"/>
          <w:szCs w:val="22"/>
        </w:rPr>
        <w:t>TBBG</w:t>
      </w:r>
      <w:r w:rsidR="00363020" w:rsidRPr="00D5509E">
        <w:rPr>
          <w:rFonts w:ascii="Times New Roman" w:hAnsi="Times New Roman" w:cs="Times New Roman"/>
          <w:sz w:val="22"/>
          <w:szCs w:val="22"/>
        </w:rPr>
        <w:t xml:space="preserve">, whichever occurs first. </w:t>
      </w:r>
    </w:p>
    <w:p w14:paraId="260C4C94" w14:textId="77777777" w:rsidR="00363020" w:rsidRPr="00D5509E" w:rsidRDefault="00363020" w:rsidP="00E006AB">
      <w:pPr>
        <w:tabs>
          <w:tab w:val="left" w:pos="450"/>
        </w:tabs>
        <w:spacing w:after="0"/>
        <w:jc w:val="both"/>
        <w:rPr>
          <w:rFonts w:ascii="Times New Roman" w:hAnsi="Times New Roman" w:cs="Times New Roman"/>
          <w:sz w:val="22"/>
          <w:szCs w:val="22"/>
          <w:lang w:val="ru-RU"/>
        </w:rPr>
      </w:pPr>
      <w:r w:rsidRPr="00D5509E">
        <w:rPr>
          <w:rFonts w:ascii="Times New Roman" w:hAnsi="Times New Roman" w:cs="Times New Roman"/>
          <w:b/>
          <w:bCs/>
          <w:sz w:val="22"/>
          <w:szCs w:val="22"/>
        </w:rPr>
        <w:t xml:space="preserve">Consortium </w:t>
      </w:r>
    </w:p>
    <w:p w14:paraId="40E27DB1" w14:textId="6753904E" w:rsidR="00363020" w:rsidRPr="00D5509E"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A supplier</w:t>
      </w:r>
      <w:r w:rsidR="001E7662"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proposal submitted by a simple partnership consisting of two or more </w:t>
      </w:r>
      <w:r w:rsidR="005657DC" w:rsidRPr="00D5509E">
        <w:rPr>
          <w:rFonts w:ascii="Times New Roman" w:hAnsi="Times New Roman" w:cs="Times New Roman"/>
          <w:sz w:val="22"/>
          <w:szCs w:val="22"/>
        </w:rPr>
        <w:t>people</w:t>
      </w:r>
      <w:r w:rsidRPr="00D5509E">
        <w:rPr>
          <w:rFonts w:ascii="Times New Roman" w:hAnsi="Times New Roman" w:cs="Times New Roman"/>
          <w:sz w:val="22"/>
          <w:szCs w:val="22"/>
        </w:rPr>
        <w:t xml:space="preserve"> (consortium) must meet the following requirements: </w:t>
      </w:r>
    </w:p>
    <w:p w14:paraId="4BFCC46B" w14:textId="5E7347D2" w:rsidR="00363020" w:rsidRPr="00D5509E" w:rsidRDefault="00B11C2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w:t>
      </w:r>
      <w:r w:rsidR="00363020" w:rsidRPr="00D5509E">
        <w:rPr>
          <w:rFonts w:ascii="Times New Roman" w:hAnsi="Times New Roman" w:cs="Times New Roman"/>
          <w:sz w:val="22"/>
          <w:szCs w:val="22"/>
        </w:rPr>
        <w:t xml:space="preserve">he lead partner shall meet at least 40 per cent of the qualification requirements set out in the procurement documentation, and the remaining partners shall be at the discretion of the procuring </w:t>
      </w:r>
      <w:r w:rsidR="005657DC" w:rsidRPr="00D5509E">
        <w:rPr>
          <w:rFonts w:ascii="Times New Roman" w:hAnsi="Times New Roman" w:cs="Times New Roman"/>
          <w:sz w:val="22"/>
          <w:szCs w:val="22"/>
        </w:rPr>
        <w:t>entity.</w:t>
      </w:r>
      <w:r w:rsidR="00363020" w:rsidRPr="00D5509E">
        <w:rPr>
          <w:rFonts w:ascii="Times New Roman" w:hAnsi="Times New Roman" w:cs="Times New Roman"/>
          <w:sz w:val="22"/>
          <w:szCs w:val="22"/>
        </w:rPr>
        <w:t xml:space="preserve"> </w:t>
      </w:r>
    </w:p>
    <w:p w14:paraId="3B0823E6" w14:textId="4EFFA1B9" w:rsidR="00363020" w:rsidRPr="00D5509E" w:rsidRDefault="00B11C2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w:t>
      </w:r>
      <w:r w:rsidR="000F5F73" w:rsidRPr="00D5509E">
        <w:rPr>
          <w:rFonts w:ascii="Times New Roman" w:hAnsi="Times New Roman" w:cs="Times New Roman"/>
          <w:sz w:val="22"/>
          <w:szCs w:val="22"/>
        </w:rPr>
        <w:t>he</w:t>
      </w:r>
      <w:r w:rsidR="00363020" w:rsidRPr="00D5509E">
        <w:rPr>
          <w:rFonts w:ascii="Times New Roman" w:hAnsi="Times New Roman" w:cs="Times New Roman"/>
          <w:sz w:val="22"/>
          <w:szCs w:val="22"/>
        </w:rPr>
        <w:t xml:space="preserve"> experience of the members of the simple partnership, the financial and technical capabilities of each of the partners of the simple partnership shall be summed up and must comply with 100 percent of the </w:t>
      </w:r>
      <w:r w:rsidR="00363020" w:rsidRPr="00D5509E">
        <w:rPr>
          <w:rFonts w:ascii="Times New Roman" w:hAnsi="Times New Roman" w:cs="Times New Roman"/>
          <w:sz w:val="22"/>
          <w:szCs w:val="22"/>
        </w:rPr>
        <w:lastRenderedPageBreak/>
        <w:t xml:space="preserve">established requirements in the procurement documentation. In case of non-compliance with these requirements, the proposal of the supplier of a simple partnership is </w:t>
      </w:r>
      <w:r w:rsidR="005657DC" w:rsidRPr="00D5509E">
        <w:rPr>
          <w:rFonts w:ascii="Times New Roman" w:hAnsi="Times New Roman" w:cs="Times New Roman"/>
          <w:sz w:val="22"/>
          <w:szCs w:val="22"/>
        </w:rPr>
        <w:t>rejected.</w:t>
      </w:r>
      <w:r w:rsidR="00363020" w:rsidRPr="00D5509E">
        <w:rPr>
          <w:rFonts w:ascii="Times New Roman" w:hAnsi="Times New Roman" w:cs="Times New Roman"/>
          <w:sz w:val="22"/>
          <w:szCs w:val="22"/>
        </w:rPr>
        <w:t xml:space="preserve"> </w:t>
      </w:r>
    </w:p>
    <w:p w14:paraId="4255FF07" w14:textId="6FB2ED7E" w:rsidR="00363020" w:rsidRPr="00D5509E" w:rsidRDefault="005657DC">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It</w:t>
      </w:r>
      <w:r w:rsidR="00363020" w:rsidRPr="00D5509E">
        <w:rPr>
          <w:rFonts w:ascii="Times New Roman" w:hAnsi="Times New Roman" w:cs="Times New Roman"/>
          <w:sz w:val="22"/>
          <w:szCs w:val="22"/>
        </w:rPr>
        <w:t xml:space="preserve"> must include an agreement concluded between the partners in accordance with the Civil Code of the Kyrgyz </w:t>
      </w:r>
      <w:r w:rsidRPr="00D5509E">
        <w:rPr>
          <w:rFonts w:ascii="Times New Roman" w:hAnsi="Times New Roman" w:cs="Times New Roman"/>
          <w:sz w:val="22"/>
          <w:szCs w:val="22"/>
        </w:rPr>
        <w:t>Republic.</w:t>
      </w:r>
      <w:r w:rsidR="00363020" w:rsidRPr="00D5509E">
        <w:rPr>
          <w:rFonts w:ascii="Times New Roman" w:hAnsi="Times New Roman" w:cs="Times New Roman"/>
          <w:sz w:val="22"/>
          <w:szCs w:val="22"/>
        </w:rPr>
        <w:t xml:space="preserve"> </w:t>
      </w:r>
    </w:p>
    <w:p w14:paraId="78258C87" w14:textId="4D2702A8" w:rsidR="00363020" w:rsidRPr="00D5509E"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one of the partners must be the leader, authorized to bear obligations and receive instructions on behalf of and on behalf of any partner and all partners, which is confirmed by the relevant simple partnership </w:t>
      </w:r>
      <w:r w:rsidR="005657DC"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w:t>
      </w:r>
    </w:p>
    <w:p w14:paraId="538D00D7" w14:textId="367CC56C" w:rsidR="00363020" w:rsidRPr="00D5509E" w:rsidRDefault="002174C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A proposal</w:t>
      </w:r>
      <w:r w:rsidR="00363020" w:rsidRPr="00D5509E">
        <w:rPr>
          <w:rFonts w:ascii="Times New Roman" w:hAnsi="Times New Roman" w:cs="Times New Roman"/>
          <w:sz w:val="22"/>
          <w:szCs w:val="22"/>
        </w:rPr>
        <w:t xml:space="preserve"> from a simple partnership (consortium) is submitted and must be signed by the leading partner, if there is a power of attorney for signing from the other members of the simple partnership (consortium), or must be signed by all members of the simple partnership (consortium</w:t>
      </w:r>
      <w:r w:rsidR="005657DC" w:rsidRPr="00D5509E">
        <w:rPr>
          <w:rFonts w:ascii="Times New Roman" w:hAnsi="Times New Roman" w:cs="Times New Roman"/>
          <w:sz w:val="22"/>
          <w:szCs w:val="22"/>
        </w:rPr>
        <w:t>).</w:t>
      </w:r>
      <w:r w:rsidR="00363020" w:rsidRPr="00D5509E">
        <w:rPr>
          <w:rFonts w:ascii="Times New Roman" w:hAnsi="Times New Roman" w:cs="Times New Roman"/>
          <w:sz w:val="22"/>
          <w:szCs w:val="22"/>
        </w:rPr>
        <w:t xml:space="preserve"> </w:t>
      </w:r>
    </w:p>
    <w:p w14:paraId="6366243A" w14:textId="4B36B60D" w:rsidR="00363020" w:rsidRPr="00D5509E"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w:t>
      </w:r>
      <w:r w:rsidR="0077291A"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is submitted in the system from the personal account of the leading partner, determined by the agreement of a simple partnership. </w:t>
      </w:r>
    </w:p>
    <w:p w14:paraId="74E33B33" w14:textId="11C79826" w:rsidR="00363020" w:rsidRPr="00D5509E" w:rsidRDefault="0077291A" w:rsidP="00E006AB">
      <w:pPr>
        <w:tabs>
          <w:tab w:val="left" w:pos="450"/>
        </w:tabs>
        <w:spacing w:after="0"/>
        <w:jc w:val="both"/>
        <w:rPr>
          <w:rFonts w:ascii="Times New Roman" w:hAnsi="Times New Roman" w:cs="Times New Roman"/>
          <w:sz w:val="22"/>
          <w:szCs w:val="22"/>
          <w:lang w:val="ru-RU"/>
        </w:rPr>
      </w:pPr>
      <w:r w:rsidRPr="00D5509E">
        <w:rPr>
          <w:rFonts w:ascii="Times New Roman" w:hAnsi="Times New Roman" w:cs="Times New Roman"/>
          <w:b/>
          <w:bCs/>
          <w:sz w:val="22"/>
          <w:szCs w:val="22"/>
        </w:rPr>
        <w:t>Qualification</w:t>
      </w:r>
      <w:r w:rsidR="00363020" w:rsidRPr="00D5509E">
        <w:rPr>
          <w:rFonts w:ascii="Times New Roman" w:hAnsi="Times New Roman" w:cs="Times New Roman"/>
          <w:b/>
          <w:bCs/>
          <w:sz w:val="22"/>
          <w:szCs w:val="22"/>
        </w:rPr>
        <w:t xml:space="preserve"> Requirements </w:t>
      </w:r>
    </w:p>
    <w:p w14:paraId="4C6316CD" w14:textId="77777777" w:rsidR="00363020" w:rsidRPr="00D5509E" w:rsidRDefault="00363020">
      <w:pPr>
        <w:pStyle w:val="a7"/>
        <w:numPr>
          <w:ilvl w:val="0"/>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Suppliers shall provide information on compliance with the qualification requirements established by the procuring entity in the procurement documentation, and attach (if required) relevant confirmations/evidence, documents (in copies), such as: </w:t>
      </w:r>
    </w:p>
    <w:p w14:paraId="106E994E" w14:textId="283E7E91" w:rsidR="00363020" w:rsidRPr="00D5509E"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acts of acceptance of goods, work performed/services rendered under the relevant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s in proportion to the amount of the participating lots (in case of submission of a proposal for several lots, copies of such acts shall be provided in proportion to the amount of all lots) to confirm similar experience in the execution of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s on the subject of procurement for the amount of the lot or purchase (if the purchase is carried out for one lot) with an indication of the period, in accordance with the procurement documentation; </w:t>
      </w:r>
    </w:p>
    <w:p w14:paraId="7DFC0F36" w14:textId="3A9798C5" w:rsidR="00363020" w:rsidRPr="00D5509E"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cash flow statements, profit and loss statements, balance sheet or Single Tax Return, or bank statement (original) confirming the financial solvency of the </w:t>
      </w:r>
      <w:r w:rsidR="005657DC" w:rsidRPr="00D5509E">
        <w:rPr>
          <w:rFonts w:ascii="Times New Roman" w:hAnsi="Times New Roman" w:cs="Times New Roman"/>
          <w:sz w:val="22"/>
          <w:szCs w:val="22"/>
        </w:rPr>
        <w:t>supplier.</w:t>
      </w:r>
      <w:r w:rsidRPr="00D5509E">
        <w:rPr>
          <w:rFonts w:ascii="Times New Roman" w:hAnsi="Times New Roman" w:cs="Times New Roman"/>
          <w:sz w:val="22"/>
          <w:szCs w:val="22"/>
        </w:rPr>
        <w:t xml:space="preserve"> </w:t>
      </w:r>
    </w:p>
    <w:p w14:paraId="49E08E91" w14:textId="77777777" w:rsidR="00363020" w:rsidRPr="00D5509E"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licenses/permits (if the activity is licensed, for participants who are not residents of the Kyrgyz Republic - the availability of a license of the country of origin, in case of mutual recognition of the license by the parties on the basis of an international treaty to which the Kyrgyz Republic is a party) with annexes; </w:t>
      </w:r>
    </w:p>
    <w:p w14:paraId="46CA2592" w14:textId="5574BA7F" w:rsidR="00363020" w:rsidRPr="00D5509E"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lease agreements, use agreements, technical passports for vehicles, invoices for equipment evidencing the availability of material and technical base for the execution of the </w:t>
      </w:r>
      <w:r w:rsidR="00DA303D" w:rsidRPr="00D5509E">
        <w:rPr>
          <w:rFonts w:ascii="Times New Roman" w:hAnsi="Times New Roman" w:cs="Times New Roman"/>
          <w:sz w:val="22"/>
          <w:szCs w:val="22"/>
        </w:rPr>
        <w:t>agreement</w:t>
      </w:r>
      <w:r w:rsidR="005657DC"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54102429" w14:textId="7EE92563" w:rsidR="00363020" w:rsidRPr="00D5509E"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employment record books,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s, permits, certificates, </w:t>
      </w:r>
      <w:r w:rsidR="00F02E27" w:rsidRPr="00D5509E">
        <w:rPr>
          <w:rFonts w:ascii="Times New Roman" w:hAnsi="Times New Roman" w:cs="Times New Roman"/>
          <w:sz w:val="22"/>
          <w:szCs w:val="22"/>
        </w:rPr>
        <w:t>diplomas, certificates</w:t>
      </w:r>
      <w:r w:rsidR="002174C6" w:rsidRPr="00D5509E">
        <w:rPr>
          <w:rFonts w:ascii="Times New Roman" w:hAnsi="Times New Roman" w:cs="Times New Roman"/>
          <w:sz w:val="22"/>
          <w:szCs w:val="22"/>
        </w:rPr>
        <w:t>, certificates</w:t>
      </w:r>
      <w:r w:rsidR="005657DC" w:rsidRPr="00D5509E">
        <w:rPr>
          <w:rFonts w:ascii="Times New Roman" w:hAnsi="Times New Roman" w:cs="Times New Roman"/>
          <w:sz w:val="22"/>
          <w:szCs w:val="22"/>
        </w:rPr>
        <w:t>, certificates</w:t>
      </w:r>
      <w:r w:rsidRPr="00D5509E">
        <w:rPr>
          <w:rFonts w:ascii="Times New Roman" w:hAnsi="Times New Roman" w:cs="Times New Roman"/>
          <w:sz w:val="22"/>
          <w:szCs w:val="22"/>
        </w:rPr>
        <w:t xml:space="preserve">, </w:t>
      </w:r>
      <w:r w:rsidR="00204432" w:rsidRPr="00D5509E">
        <w:rPr>
          <w:rFonts w:ascii="Times New Roman" w:hAnsi="Times New Roman" w:cs="Times New Roman"/>
          <w:sz w:val="22"/>
          <w:szCs w:val="22"/>
        </w:rPr>
        <w:t>certificates,</w:t>
      </w:r>
      <w:r w:rsidRPr="00D5509E">
        <w:rPr>
          <w:rFonts w:ascii="Times New Roman" w:hAnsi="Times New Roman" w:cs="Times New Roman"/>
          <w:sz w:val="22"/>
          <w:szCs w:val="22"/>
        </w:rPr>
        <w:t xml:space="preserve"> and other documents that confirm the qualifications of employees with the necessary knowledge and experience. </w:t>
      </w:r>
    </w:p>
    <w:p w14:paraId="0A4815BC" w14:textId="77777777" w:rsidR="00363020" w:rsidRPr="00D5509E" w:rsidRDefault="00363020">
      <w:pPr>
        <w:pStyle w:val="a7"/>
        <w:numPr>
          <w:ilvl w:val="0"/>
          <w:numId w:val="9"/>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necessary qualification and other requirements for a particular purchase shall be filled in by the Customer directly in the System. </w:t>
      </w:r>
    </w:p>
    <w:p w14:paraId="7F849A1B" w14:textId="77777777" w:rsidR="00363020" w:rsidRPr="00D5509E" w:rsidRDefault="00363020" w:rsidP="00E006AB">
      <w:pPr>
        <w:tabs>
          <w:tab w:val="left" w:pos="450"/>
        </w:tabs>
        <w:spacing w:after="0"/>
        <w:jc w:val="both"/>
        <w:rPr>
          <w:rFonts w:ascii="Times New Roman" w:hAnsi="Times New Roman" w:cs="Times New Roman"/>
          <w:sz w:val="22"/>
          <w:szCs w:val="22"/>
          <w:lang w:val="ru-RU"/>
        </w:rPr>
      </w:pPr>
      <w:r w:rsidRPr="00D5509E">
        <w:rPr>
          <w:rFonts w:ascii="Times New Roman" w:hAnsi="Times New Roman" w:cs="Times New Roman"/>
          <w:b/>
          <w:bCs/>
          <w:sz w:val="22"/>
          <w:szCs w:val="22"/>
        </w:rPr>
        <w:t xml:space="preserve">Technical Specification </w:t>
      </w:r>
    </w:p>
    <w:p w14:paraId="1D190163" w14:textId="10F4BD10"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The goods supplied must be new, not previously used, manufactured according to the latest or currently in production modifications, be current and include all the latest improvements in construction and materials, reflect</w:t>
      </w:r>
      <w:r w:rsidR="00697F12" w:rsidRPr="00D5509E">
        <w:rPr>
          <w:rFonts w:ascii="Times New Roman" w:hAnsi="Times New Roman" w:cs="Times New Roman"/>
          <w:sz w:val="22"/>
          <w:szCs w:val="22"/>
        </w:rPr>
        <w:t>ing</w:t>
      </w:r>
      <w:r w:rsidRPr="00D5509E">
        <w:rPr>
          <w:rFonts w:ascii="Times New Roman" w:hAnsi="Times New Roman" w:cs="Times New Roman"/>
          <w:sz w:val="22"/>
          <w:szCs w:val="22"/>
        </w:rPr>
        <w:t xml:space="preserve"> all recent achievements in the field of design and development of materials, unless otherwise provided by the </w:t>
      </w:r>
      <w:r w:rsidR="00A92B05" w:rsidRPr="00D5509E">
        <w:rPr>
          <w:rFonts w:ascii="Times New Roman" w:hAnsi="Times New Roman" w:cs="Times New Roman"/>
          <w:sz w:val="22"/>
          <w:szCs w:val="22"/>
        </w:rPr>
        <w:t>tender</w:t>
      </w:r>
      <w:r w:rsidRPr="00D5509E">
        <w:rPr>
          <w:rFonts w:ascii="Times New Roman" w:hAnsi="Times New Roman" w:cs="Times New Roman"/>
          <w:sz w:val="22"/>
          <w:szCs w:val="22"/>
        </w:rPr>
        <w:t xml:space="preserve">. </w:t>
      </w:r>
    </w:p>
    <w:p w14:paraId="6356E4F1" w14:textId="77777777"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Precise and clear specifications are a prerequisite for the bidders to be able to respond realistically and competitively to the Customer's requirements without reservations or conditions. </w:t>
      </w:r>
    </w:p>
    <w:p w14:paraId="1799D150" w14:textId="34C12C91"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the context of competitive procedures, specifications should be drafted in such a way as to ensure the widest possible competition, while at the same time clearly reflecting the required standards of materials, equipment, other </w:t>
      </w:r>
      <w:r w:rsidR="00204432" w:rsidRPr="00D5509E">
        <w:rPr>
          <w:rFonts w:ascii="Times New Roman" w:hAnsi="Times New Roman" w:cs="Times New Roman"/>
          <w:sz w:val="22"/>
          <w:szCs w:val="22"/>
        </w:rPr>
        <w:t>supplies,</w:t>
      </w:r>
      <w:r w:rsidRPr="00D5509E">
        <w:rPr>
          <w:rFonts w:ascii="Times New Roman" w:hAnsi="Times New Roman" w:cs="Times New Roman"/>
          <w:sz w:val="22"/>
          <w:szCs w:val="22"/>
        </w:rPr>
        <w:t xml:space="preserve"> and quality of work to be provided. Only then will the objectives of economy, efficiency and equality in procurement be achieved, the compliance of bids with the requirements will be ensured and the subsequent task of evaluating bids will be facilitated. </w:t>
      </w:r>
    </w:p>
    <w:p w14:paraId="02FFA2CA" w14:textId="273B879A"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quality and safety of the goods </w:t>
      </w:r>
      <w:r w:rsidR="002174C6" w:rsidRPr="00D5509E">
        <w:rPr>
          <w:rFonts w:ascii="Times New Roman" w:hAnsi="Times New Roman" w:cs="Times New Roman"/>
          <w:sz w:val="22"/>
          <w:szCs w:val="22"/>
        </w:rPr>
        <w:t>supplied,</w:t>
      </w:r>
      <w:r w:rsidRPr="00D5509E">
        <w:rPr>
          <w:rFonts w:ascii="Times New Roman" w:hAnsi="Times New Roman" w:cs="Times New Roman"/>
          <w:sz w:val="22"/>
          <w:szCs w:val="22"/>
        </w:rPr>
        <w:t xml:space="preserve"> and the consumables used in the performance of work and </w:t>
      </w:r>
      <w:r w:rsidR="002174C6" w:rsidRPr="00D5509E">
        <w:rPr>
          <w:rFonts w:ascii="Times New Roman" w:hAnsi="Times New Roman" w:cs="Times New Roman"/>
          <w:sz w:val="22"/>
          <w:szCs w:val="22"/>
        </w:rPr>
        <w:t>services,</w:t>
      </w:r>
      <w:r w:rsidRPr="00D5509E">
        <w:rPr>
          <w:rFonts w:ascii="Times New Roman" w:hAnsi="Times New Roman" w:cs="Times New Roman"/>
          <w:sz w:val="22"/>
          <w:szCs w:val="22"/>
        </w:rPr>
        <w:t xml:space="preserve"> must comply with the relevant technical regulations and be confirmed by certificates of conformity. </w:t>
      </w:r>
    </w:p>
    <w:p w14:paraId="2414BFC1" w14:textId="0981F573"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lastRenderedPageBreak/>
        <w:t xml:space="preserve">Goods or materials used in </w:t>
      </w:r>
      <w:r w:rsidR="002174C6" w:rsidRPr="00D5509E">
        <w:rPr>
          <w:rFonts w:ascii="Times New Roman" w:hAnsi="Times New Roman" w:cs="Times New Roman"/>
          <w:sz w:val="22"/>
          <w:szCs w:val="22"/>
        </w:rPr>
        <w:t>work</w:t>
      </w:r>
      <w:r w:rsidRPr="00D5509E">
        <w:rPr>
          <w:rFonts w:ascii="Times New Roman" w:hAnsi="Times New Roman" w:cs="Times New Roman"/>
          <w:sz w:val="22"/>
          <w:szCs w:val="22"/>
        </w:rPr>
        <w:t xml:space="preserve"> or services must meet the standards specified in the technical requirements and comply with the technical regulations of the Kyrgyz Republic, or international norms and standards that provide an equivalent or higher level of quality. </w:t>
      </w:r>
    </w:p>
    <w:p w14:paraId="4B0D1493" w14:textId="77777777"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If the subject of the purchase is included in the List of Goods Subject to Mandatory Certification, it is necessary to provide the relevant confirmation of certification. </w:t>
      </w:r>
    </w:p>
    <w:p w14:paraId="4FDB247E" w14:textId="3C87CB3A"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Design documents, drawings, calculations, reports, technical engineering documents, photographic materials, surveys, </w:t>
      </w:r>
      <w:r w:rsidR="00204432" w:rsidRPr="00D5509E">
        <w:rPr>
          <w:rFonts w:ascii="Times New Roman" w:hAnsi="Times New Roman" w:cs="Times New Roman"/>
          <w:sz w:val="22"/>
          <w:szCs w:val="22"/>
        </w:rPr>
        <w:t>diagrams,</w:t>
      </w:r>
      <w:r w:rsidRPr="00D5509E">
        <w:rPr>
          <w:rFonts w:ascii="Times New Roman" w:hAnsi="Times New Roman" w:cs="Times New Roman"/>
          <w:sz w:val="22"/>
          <w:szCs w:val="22"/>
        </w:rPr>
        <w:t xml:space="preserve"> and other similar documents must be clear and readable. </w:t>
      </w:r>
    </w:p>
    <w:p w14:paraId="2513CE7E" w14:textId="63CDABFA"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Drawings (if necessary) are usually bound in a separate volume, which is often larger than other volumes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The size is determined by the scale of the drawings, which must not be reduced to such an extent that the parts become illegible. </w:t>
      </w:r>
    </w:p>
    <w:p w14:paraId="03E56DA7" w14:textId="77777777"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Construction drawings, even if they are not fully developed, should contain sufficient detail to enable the procuring entity to understand the type and complexity of the work and to determine the price from the quantity bill or schedule. </w:t>
      </w:r>
    </w:p>
    <w:p w14:paraId="13AC43C9" w14:textId="7615F674"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supplier has the right to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alternative technical solutions for certain parts of the work. Alternative solutions are appropriate in cases where obvious (and potentially less expensive) alternative solutions are possible in comparison with the technical solutions specified in the tender documentation for certain elements of work, </w:t>
      </w:r>
      <w:r w:rsidR="00204432" w:rsidRPr="00D5509E">
        <w:rPr>
          <w:rFonts w:ascii="Times New Roman" w:hAnsi="Times New Roman" w:cs="Times New Roman"/>
          <w:sz w:val="22"/>
          <w:szCs w:val="22"/>
        </w:rPr>
        <w:t>considering</w:t>
      </w:r>
      <w:r w:rsidRPr="00D5509E">
        <w:rPr>
          <w:rFonts w:ascii="Times New Roman" w:hAnsi="Times New Roman" w:cs="Times New Roman"/>
          <w:sz w:val="22"/>
          <w:szCs w:val="22"/>
        </w:rPr>
        <w:t xml:space="preserve"> the comparative specialized advantages of potential Bidders. </w:t>
      </w:r>
    </w:p>
    <w:p w14:paraId="52B13EA0" w14:textId="77777777" w:rsidR="00363020" w:rsidRPr="00D5509E"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Such alternative solutions by the supplier should be accompanied by all the information necessary for a full assessment by the procuring entity, including drawings, design calculations, technical specifications, price breakdowns, proposed construction methodology and other relevant details. </w:t>
      </w:r>
    </w:p>
    <w:p w14:paraId="78E289C1" w14:textId="77777777" w:rsidR="00363020" w:rsidRPr="00D5509E" w:rsidRDefault="00363020"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b/>
          <w:bCs/>
          <w:sz w:val="22"/>
          <w:szCs w:val="22"/>
        </w:rPr>
        <w:t xml:space="preserve">Declaration of Good Faith and Anti-Corruption Clause </w:t>
      </w:r>
    </w:p>
    <w:p w14:paraId="2412EC44" w14:textId="41E6FFF0" w:rsidR="00363020" w:rsidRPr="00D5509E" w:rsidRDefault="00363020"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Bidders must adhere to high standards of ethics during procurement and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execution procedures, and they must not be involved in misconduct such as collusion, bribery, </w:t>
      </w:r>
      <w:r w:rsidR="00204432" w:rsidRPr="00D5509E">
        <w:rPr>
          <w:rFonts w:ascii="Times New Roman" w:hAnsi="Times New Roman" w:cs="Times New Roman"/>
          <w:sz w:val="22"/>
          <w:szCs w:val="22"/>
        </w:rPr>
        <w:t>fraud,</w:t>
      </w:r>
      <w:r w:rsidRPr="00D5509E">
        <w:rPr>
          <w:rFonts w:ascii="Times New Roman" w:hAnsi="Times New Roman" w:cs="Times New Roman"/>
          <w:sz w:val="22"/>
          <w:szCs w:val="22"/>
        </w:rPr>
        <w:t xml:space="preserve"> and corruption.</w:t>
      </w:r>
      <w:r w:rsidRPr="00D5509E">
        <w:rPr>
          <w:rFonts w:ascii="Times New Roman" w:hAnsi="Times New Roman" w:cs="Times New Roman"/>
          <w:sz w:val="22"/>
          <w:szCs w:val="22"/>
        </w:rPr>
        <w:br w:type="page"/>
      </w:r>
    </w:p>
    <w:p w14:paraId="102E063C" w14:textId="008EE2DF" w:rsidR="00A546A8" w:rsidRPr="00D5509E" w:rsidRDefault="00A546A8" w:rsidP="00E006AB">
      <w:pPr>
        <w:pStyle w:val="26"/>
        <w:keepNext/>
        <w:keepLines/>
        <w:shd w:val="clear" w:color="auto" w:fill="auto"/>
        <w:spacing w:after="0" w:line="220" w:lineRule="exact"/>
        <w:rPr>
          <w:sz w:val="22"/>
          <w:szCs w:val="22"/>
        </w:rPr>
      </w:pPr>
      <w:r w:rsidRPr="00D5509E">
        <w:rPr>
          <w:sz w:val="22"/>
          <w:szCs w:val="22"/>
        </w:rPr>
        <w:lastRenderedPageBreak/>
        <w:t xml:space="preserve">Appendix </w:t>
      </w:r>
      <w:r w:rsidR="00A312A1" w:rsidRPr="00D5509E">
        <w:rPr>
          <w:sz w:val="22"/>
          <w:szCs w:val="22"/>
        </w:rPr>
        <w:t>#</w:t>
      </w:r>
      <w:r w:rsidRPr="00D5509E">
        <w:rPr>
          <w:sz w:val="22"/>
          <w:szCs w:val="22"/>
        </w:rPr>
        <w:t xml:space="preserve">2 </w:t>
      </w:r>
    </w:p>
    <w:p w14:paraId="48FE90ED" w14:textId="77777777" w:rsidR="00A546A8" w:rsidRPr="00D5509E" w:rsidRDefault="00A546A8" w:rsidP="00E006AB">
      <w:pPr>
        <w:spacing w:after="0"/>
        <w:jc w:val="both"/>
        <w:rPr>
          <w:rFonts w:ascii="Times New Roman" w:hAnsi="Times New Roman" w:cs="Times New Roman"/>
          <w:b/>
          <w:bCs/>
          <w:sz w:val="22"/>
          <w:szCs w:val="22"/>
        </w:rPr>
      </w:pPr>
    </w:p>
    <w:p w14:paraId="06BDE08B" w14:textId="5769D1DE" w:rsidR="00A546A8" w:rsidRPr="00D5509E" w:rsidRDefault="00A546A8" w:rsidP="00E006AB">
      <w:pPr>
        <w:spacing w:after="0"/>
        <w:jc w:val="center"/>
        <w:rPr>
          <w:rFonts w:ascii="Times New Roman" w:hAnsi="Times New Roman" w:cs="Times New Roman"/>
          <w:sz w:val="22"/>
          <w:szCs w:val="22"/>
        </w:rPr>
      </w:pPr>
      <w:r w:rsidRPr="00D5509E">
        <w:rPr>
          <w:rFonts w:ascii="Times New Roman" w:hAnsi="Times New Roman" w:cs="Times New Roman"/>
          <w:b/>
          <w:bCs/>
          <w:sz w:val="22"/>
          <w:szCs w:val="22"/>
        </w:rPr>
        <w:t>SUPPLIER APPLICATION/</w:t>
      </w:r>
      <w:r w:rsidR="0078400E" w:rsidRPr="00D5509E">
        <w:rPr>
          <w:rFonts w:ascii="Times New Roman" w:hAnsi="Times New Roman" w:cs="Times New Roman"/>
          <w:b/>
          <w:bCs/>
          <w:sz w:val="22"/>
          <w:szCs w:val="22"/>
        </w:rPr>
        <w:t>PROPOSAL</w:t>
      </w:r>
    </w:p>
    <w:p w14:paraId="09F60C19" w14:textId="065DA397" w:rsidR="00A546A8" w:rsidRPr="00D5509E" w:rsidRDefault="0078400E"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To</w:t>
      </w:r>
      <w:r w:rsidR="00A546A8" w:rsidRPr="00D5509E">
        <w:rPr>
          <w:rFonts w:ascii="Times New Roman" w:hAnsi="Times New Roman" w:cs="Times New Roman"/>
          <w:sz w:val="22"/>
          <w:szCs w:val="22"/>
        </w:rPr>
        <w:t xml:space="preserve">: Kumtor Gold Company CJSC  </w:t>
      </w:r>
    </w:p>
    <w:p w14:paraId="3F3AD381" w14:textId="7777777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From: _____________________________________________________________ </w:t>
      </w:r>
    </w:p>
    <w:p w14:paraId="4ED0CD16" w14:textId="6CC001FD"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Having studied the published procurement documentation, we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to provide services - _________________________________________ </w:t>
      </w:r>
    </w:p>
    <w:p w14:paraId="3B589AF0" w14:textId="7777777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(name of the purchase) </w:t>
      </w:r>
    </w:p>
    <w:p w14:paraId="513CA9C6" w14:textId="77777777" w:rsidR="00A546A8" w:rsidRPr="00D5509E" w:rsidRDefault="00A546A8" w:rsidP="00E006AB">
      <w:pPr>
        <w:spacing w:after="0"/>
        <w:jc w:val="both"/>
        <w:rPr>
          <w:rFonts w:ascii="Times New Roman" w:hAnsi="Times New Roman" w:cs="Times New Roman"/>
          <w:sz w:val="22"/>
          <w:szCs w:val="22"/>
        </w:rPr>
      </w:pPr>
    </w:p>
    <w:p w14:paraId="1F4A00CD" w14:textId="7FA1B49D"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in accordance with all the terms and requirements of the procurement documentation, confirmed by the completed forms, which is part of this supplier</w:t>
      </w:r>
      <w:r w:rsidR="0078400E"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proposal. </w:t>
      </w:r>
    </w:p>
    <w:p w14:paraId="750D7337" w14:textId="7777777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We hereby confirm our legal capacity to participate in this procurement. </w:t>
      </w:r>
    </w:p>
    <w:p w14:paraId="2009EE68" w14:textId="7777777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Our bid will be valid for __________ (specify expiry date) days from the date set for the deadline for submission of bids and will remain binding on us and may be accepted at any time before the expiry of this deadline. </w:t>
      </w:r>
    </w:p>
    <w:p w14:paraId="380BD523" w14:textId="11799D6B"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In case our </w:t>
      </w:r>
      <w:r w:rsidR="005C3485"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is determined as the winner, we undertake: </w:t>
      </w:r>
    </w:p>
    <w:p w14:paraId="38FC72E3" w14:textId="39495858"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1) </w:t>
      </w:r>
      <w:r w:rsidR="005C3485" w:rsidRPr="00D5509E">
        <w:rPr>
          <w:rFonts w:ascii="Times New Roman" w:hAnsi="Times New Roman" w:cs="Times New Roman"/>
          <w:sz w:val="22"/>
          <w:szCs w:val="22"/>
        </w:rPr>
        <w:t>p</w:t>
      </w:r>
      <w:r w:rsidRPr="00D5509E">
        <w:rPr>
          <w:rFonts w:ascii="Times New Roman" w:hAnsi="Times New Roman" w:cs="Times New Roman"/>
          <w:sz w:val="22"/>
          <w:szCs w:val="22"/>
        </w:rPr>
        <w:t>rovide all the necessary documents included in the supplier</w:t>
      </w:r>
      <w:r w:rsidR="005C3485" w:rsidRPr="00D5509E">
        <w:rPr>
          <w:rFonts w:ascii="Times New Roman" w:hAnsi="Times New Roman" w:cs="Times New Roman"/>
          <w:sz w:val="22"/>
          <w:szCs w:val="22"/>
        </w:rPr>
        <w:t>’</w:t>
      </w:r>
      <w:r w:rsidRPr="00D5509E">
        <w:rPr>
          <w:rFonts w:ascii="Times New Roman" w:hAnsi="Times New Roman" w:cs="Times New Roman"/>
          <w:sz w:val="22"/>
          <w:szCs w:val="22"/>
        </w:rPr>
        <w:t xml:space="preserve">s </w:t>
      </w:r>
      <w:r w:rsidR="005C3485"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47D039C5" w14:textId="42E2558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2) </w:t>
      </w:r>
      <w:r w:rsidR="005C3485" w:rsidRPr="00D5509E">
        <w:rPr>
          <w:rFonts w:ascii="Times New Roman" w:hAnsi="Times New Roman" w:cs="Times New Roman"/>
          <w:sz w:val="22"/>
          <w:szCs w:val="22"/>
        </w:rPr>
        <w:t>p</w:t>
      </w:r>
      <w:r w:rsidRPr="00D5509E">
        <w:rPr>
          <w:rFonts w:ascii="Times New Roman" w:hAnsi="Times New Roman" w:cs="Times New Roman"/>
          <w:sz w:val="22"/>
          <w:szCs w:val="22"/>
        </w:rPr>
        <w:t xml:space="preserve">rovide services in accordance with the requirements specified in the procurement documentation. </w:t>
      </w:r>
    </w:p>
    <w:p w14:paraId="1A45031A" w14:textId="77777777" w:rsidR="00A546A8" w:rsidRPr="00D5509E" w:rsidRDefault="00A546A8" w:rsidP="00E006AB">
      <w:pPr>
        <w:spacing w:after="0"/>
        <w:jc w:val="both"/>
        <w:rPr>
          <w:rFonts w:ascii="Times New Roman" w:hAnsi="Times New Roman" w:cs="Times New Roman"/>
          <w:b/>
          <w:bCs/>
          <w:sz w:val="22"/>
          <w:szCs w:val="22"/>
        </w:rPr>
      </w:pPr>
    </w:p>
    <w:p w14:paraId="6494A953" w14:textId="77777777"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b/>
          <w:bCs/>
          <w:sz w:val="22"/>
          <w:szCs w:val="22"/>
        </w:rPr>
        <w:t xml:space="preserve">Name of the supplier </w:t>
      </w:r>
    </w:p>
    <w:p w14:paraId="3630CDCA" w14:textId="26692CE9" w:rsidR="00A546A8" w:rsidRPr="00D5509E" w:rsidRDefault="002174C6"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____________________________________</w:t>
      </w:r>
      <w:r w:rsidR="00A546A8" w:rsidRPr="00D5509E">
        <w:rPr>
          <w:rFonts w:ascii="Times New Roman" w:hAnsi="Times New Roman" w:cs="Times New Roman"/>
          <w:sz w:val="22"/>
          <w:szCs w:val="22"/>
        </w:rPr>
        <w:t xml:space="preserve">___________________ </w:t>
      </w:r>
    </w:p>
    <w:p w14:paraId="63CD795D" w14:textId="61DB25E3" w:rsidR="00A546A8" w:rsidRPr="00D5509E" w:rsidRDefault="00A546A8"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(full name, position) (Signed) </w:t>
      </w:r>
      <w:r w:rsidR="004D2D42" w:rsidRPr="00D5509E">
        <w:rPr>
          <w:rFonts w:ascii="Times New Roman" w:hAnsi="Times New Roman" w:cs="Times New Roman"/>
          <w:sz w:val="22"/>
          <w:szCs w:val="22"/>
        </w:rPr>
        <w:t>Stamp</w:t>
      </w:r>
    </w:p>
    <w:p w14:paraId="3047C7C7" w14:textId="77777777" w:rsidR="00A546A8" w:rsidRPr="00D5509E" w:rsidRDefault="00A546A8" w:rsidP="00E006AB">
      <w:pPr>
        <w:spacing w:after="0"/>
        <w:jc w:val="both"/>
        <w:rPr>
          <w:rFonts w:ascii="Times New Roman" w:hAnsi="Times New Roman" w:cs="Times New Roman"/>
          <w:sz w:val="22"/>
          <w:szCs w:val="22"/>
        </w:rPr>
      </w:pPr>
    </w:p>
    <w:p w14:paraId="6CC2F10D" w14:textId="0DA6657B" w:rsidR="00A546A8" w:rsidRPr="00D5509E" w:rsidRDefault="00A546A8" w:rsidP="00E006AB">
      <w:pPr>
        <w:spacing w:after="0"/>
        <w:rPr>
          <w:rFonts w:ascii="Times New Roman" w:hAnsi="Times New Roman" w:cs="Times New Roman"/>
          <w:sz w:val="22"/>
          <w:szCs w:val="22"/>
        </w:rPr>
      </w:pPr>
      <w:r w:rsidRPr="00D5509E">
        <w:rPr>
          <w:rFonts w:ascii="Times New Roman" w:hAnsi="Times New Roman" w:cs="Times New Roman"/>
          <w:sz w:val="22"/>
          <w:szCs w:val="22"/>
        </w:rPr>
        <w:br w:type="page"/>
      </w:r>
    </w:p>
    <w:p w14:paraId="1B2CA354" w14:textId="3E8DEE01" w:rsidR="00A546A8" w:rsidRPr="00D5509E" w:rsidRDefault="00A546A8" w:rsidP="00E006AB">
      <w:pPr>
        <w:pStyle w:val="26"/>
        <w:keepNext/>
        <w:keepLines/>
        <w:shd w:val="clear" w:color="auto" w:fill="auto"/>
        <w:spacing w:after="0" w:line="220" w:lineRule="exact"/>
        <w:rPr>
          <w:sz w:val="22"/>
          <w:szCs w:val="22"/>
        </w:rPr>
      </w:pPr>
      <w:r w:rsidRPr="00D5509E">
        <w:rPr>
          <w:sz w:val="22"/>
          <w:szCs w:val="22"/>
        </w:rPr>
        <w:lastRenderedPageBreak/>
        <w:t xml:space="preserve">Appendix </w:t>
      </w:r>
      <w:r w:rsidR="004D2D42" w:rsidRPr="00D5509E">
        <w:rPr>
          <w:sz w:val="22"/>
          <w:szCs w:val="22"/>
        </w:rPr>
        <w:t>#</w:t>
      </w:r>
      <w:r w:rsidRPr="00D5509E">
        <w:rPr>
          <w:sz w:val="22"/>
          <w:szCs w:val="22"/>
        </w:rPr>
        <w:t>3</w:t>
      </w:r>
    </w:p>
    <w:p w14:paraId="1A829CCB" w14:textId="77777777" w:rsidR="00A546A8" w:rsidRPr="00D5509E" w:rsidRDefault="00A546A8" w:rsidP="00E006AB">
      <w:pPr>
        <w:pStyle w:val="26"/>
        <w:keepNext/>
        <w:keepLines/>
        <w:shd w:val="clear" w:color="auto" w:fill="auto"/>
        <w:spacing w:after="0" w:line="220" w:lineRule="exact"/>
        <w:jc w:val="both"/>
        <w:rPr>
          <w:sz w:val="22"/>
          <w:szCs w:val="22"/>
        </w:rPr>
      </w:pPr>
    </w:p>
    <w:p w14:paraId="1FC5D1F8" w14:textId="77777777" w:rsidR="00A546A8" w:rsidRPr="00D5509E" w:rsidRDefault="00A546A8" w:rsidP="00E006AB">
      <w:pPr>
        <w:pStyle w:val="26"/>
        <w:keepNext/>
        <w:keepLines/>
        <w:shd w:val="clear" w:color="auto" w:fill="auto"/>
        <w:spacing w:after="0" w:line="220" w:lineRule="exact"/>
        <w:jc w:val="both"/>
        <w:rPr>
          <w:sz w:val="22"/>
          <w:szCs w:val="22"/>
        </w:rPr>
      </w:pPr>
      <w:r w:rsidRPr="00D5509E">
        <w:rPr>
          <w:sz w:val="22"/>
          <w:szCs w:val="22"/>
        </w:rPr>
        <w:t>DECLARATION OF GOOD FAITH AND ANTI-CORRUPTION CLAUSE</w:t>
      </w:r>
    </w:p>
    <w:p w14:paraId="5712C21E" w14:textId="77777777" w:rsidR="004D2D42" w:rsidRPr="00D5509E" w:rsidRDefault="004D2D42" w:rsidP="00E006AB">
      <w:pPr>
        <w:pStyle w:val="24"/>
        <w:shd w:val="clear" w:color="auto" w:fill="auto"/>
        <w:tabs>
          <w:tab w:val="left" w:leader="underscore" w:pos="1853"/>
        </w:tabs>
        <w:spacing w:after="0" w:line="220" w:lineRule="exact"/>
        <w:jc w:val="both"/>
        <w:rPr>
          <w:sz w:val="22"/>
          <w:szCs w:val="22"/>
        </w:rPr>
      </w:pPr>
    </w:p>
    <w:p w14:paraId="0314CFBE" w14:textId="65F0845D" w:rsidR="00A546A8" w:rsidRPr="00D5509E" w:rsidRDefault="00A546A8" w:rsidP="00E006AB">
      <w:pPr>
        <w:pStyle w:val="24"/>
        <w:shd w:val="clear" w:color="auto" w:fill="auto"/>
        <w:tabs>
          <w:tab w:val="left" w:leader="underscore" w:pos="1853"/>
        </w:tabs>
        <w:spacing w:after="0" w:line="220" w:lineRule="exact"/>
        <w:jc w:val="both"/>
        <w:rPr>
          <w:sz w:val="22"/>
          <w:szCs w:val="22"/>
        </w:rPr>
      </w:pPr>
      <w:r w:rsidRPr="00D5509E">
        <w:rPr>
          <w:sz w:val="22"/>
          <w:szCs w:val="22"/>
        </w:rPr>
        <w:t>To:</w:t>
      </w:r>
      <w:r w:rsidRPr="00D5509E">
        <w:rPr>
          <w:sz w:val="22"/>
          <w:szCs w:val="22"/>
        </w:rPr>
        <w:tab/>
      </w:r>
    </w:p>
    <w:p w14:paraId="50726BC9" w14:textId="4D02FB9D" w:rsidR="00A546A8" w:rsidRPr="00D5509E" w:rsidRDefault="00A546A8" w:rsidP="00E006AB">
      <w:pPr>
        <w:pStyle w:val="24"/>
        <w:shd w:val="clear" w:color="auto" w:fill="auto"/>
        <w:tabs>
          <w:tab w:val="left" w:leader="underscore" w:pos="1853"/>
        </w:tabs>
        <w:spacing w:after="0" w:line="437" w:lineRule="exact"/>
        <w:rPr>
          <w:sz w:val="22"/>
          <w:szCs w:val="22"/>
        </w:rPr>
      </w:pPr>
      <w:r w:rsidRPr="00D5509E">
        <w:rPr>
          <w:sz w:val="22"/>
          <w:szCs w:val="22"/>
        </w:rPr>
        <w:t xml:space="preserve">Purchase name: </w:t>
      </w:r>
      <w:r w:rsidR="004D2D42" w:rsidRPr="00D5509E">
        <w:rPr>
          <w:sz w:val="22"/>
          <w:szCs w:val="22"/>
        </w:rPr>
        <w:t>______________</w:t>
      </w:r>
    </w:p>
    <w:p w14:paraId="509DEDF7" w14:textId="77777777" w:rsidR="00A546A8" w:rsidRPr="00D5509E" w:rsidRDefault="00A546A8" w:rsidP="00E006AB">
      <w:pPr>
        <w:pStyle w:val="24"/>
        <w:shd w:val="clear" w:color="auto" w:fill="auto"/>
        <w:spacing w:after="0" w:line="274" w:lineRule="exact"/>
        <w:jc w:val="both"/>
        <w:rPr>
          <w:sz w:val="22"/>
          <w:szCs w:val="22"/>
        </w:rPr>
      </w:pPr>
      <w:r w:rsidRPr="00D5509E">
        <w:rPr>
          <w:sz w:val="22"/>
          <w:szCs w:val="22"/>
        </w:rPr>
        <w:t>I hereby reaffirm my commitment to comply with high standards of economic conduct and ethical principles, to prevent corrupt practices, to ensure honesty and transparency in business relations, and therefore I undertake to:</w:t>
      </w:r>
    </w:p>
    <w:p w14:paraId="55BEF572" w14:textId="61402078" w:rsidR="00A546A8" w:rsidRPr="00D5509E" w:rsidRDefault="00A546A8" w:rsidP="00E006AB">
      <w:pPr>
        <w:pStyle w:val="24"/>
        <w:shd w:val="clear" w:color="auto" w:fill="auto"/>
        <w:spacing w:after="0" w:line="278" w:lineRule="exact"/>
        <w:jc w:val="both"/>
        <w:rPr>
          <w:sz w:val="22"/>
          <w:szCs w:val="22"/>
        </w:rPr>
      </w:pPr>
      <w:r w:rsidRPr="00D5509E">
        <w:rPr>
          <w:sz w:val="22"/>
          <w:szCs w:val="22"/>
        </w:rPr>
        <w:t xml:space="preserve">act in accordance with the principles of honesty, </w:t>
      </w:r>
      <w:r w:rsidR="00204432" w:rsidRPr="00D5509E">
        <w:rPr>
          <w:sz w:val="22"/>
          <w:szCs w:val="22"/>
        </w:rPr>
        <w:t>reliability,</w:t>
      </w:r>
      <w:r w:rsidRPr="00D5509E">
        <w:rPr>
          <w:sz w:val="22"/>
          <w:szCs w:val="22"/>
        </w:rPr>
        <w:t xml:space="preserve"> and professionalism in all aspects of its relationship with the procuring entity.</w:t>
      </w:r>
    </w:p>
    <w:p w14:paraId="19DAF2A7" w14:textId="51CEA282" w:rsidR="00A546A8" w:rsidRPr="00D5509E" w:rsidRDefault="00A546A8" w:rsidP="00E006AB">
      <w:pPr>
        <w:pStyle w:val="24"/>
        <w:shd w:val="clear" w:color="auto" w:fill="auto"/>
        <w:spacing w:after="0" w:line="278" w:lineRule="exact"/>
        <w:jc w:val="both"/>
        <w:rPr>
          <w:sz w:val="22"/>
          <w:szCs w:val="22"/>
        </w:rPr>
      </w:pPr>
      <w:r w:rsidRPr="00D5509E">
        <w:rPr>
          <w:sz w:val="22"/>
          <w:szCs w:val="22"/>
        </w:rPr>
        <w:t>- provide high quality products, works or services that meet the established standards and requirements of the procuring entity.</w:t>
      </w:r>
    </w:p>
    <w:p w14:paraId="7F9BBB25" w14:textId="468D69E7" w:rsidR="00A546A8" w:rsidRPr="00D5509E" w:rsidRDefault="00A546A8" w:rsidP="00E006AB">
      <w:pPr>
        <w:pStyle w:val="24"/>
        <w:shd w:val="clear" w:color="auto" w:fill="auto"/>
        <w:spacing w:after="0" w:line="274" w:lineRule="exact"/>
        <w:jc w:val="both"/>
        <w:rPr>
          <w:sz w:val="22"/>
          <w:szCs w:val="22"/>
        </w:rPr>
      </w:pPr>
      <w:r w:rsidRPr="00D5509E">
        <w:rPr>
          <w:sz w:val="22"/>
          <w:szCs w:val="22"/>
        </w:rPr>
        <w:t xml:space="preserve">- </w:t>
      </w:r>
      <w:r w:rsidR="004D2D42" w:rsidRPr="00D5509E">
        <w:rPr>
          <w:sz w:val="22"/>
          <w:szCs w:val="22"/>
        </w:rPr>
        <w:t>c</w:t>
      </w:r>
      <w:r w:rsidRPr="00D5509E">
        <w:rPr>
          <w:sz w:val="22"/>
          <w:szCs w:val="22"/>
        </w:rPr>
        <w:t xml:space="preserve">omply with all applicable laws, </w:t>
      </w:r>
      <w:r w:rsidR="00204432" w:rsidRPr="00D5509E">
        <w:rPr>
          <w:sz w:val="22"/>
          <w:szCs w:val="22"/>
        </w:rPr>
        <w:t>rules,</w:t>
      </w:r>
      <w:r w:rsidRPr="00D5509E">
        <w:rPr>
          <w:sz w:val="22"/>
          <w:szCs w:val="22"/>
        </w:rPr>
        <w:t xml:space="preserve"> and regulations in carrying out its activities and fulfilling its obligations under the </w:t>
      </w:r>
      <w:r w:rsidR="00DA303D" w:rsidRPr="00D5509E">
        <w:rPr>
          <w:sz w:val="22"/>
          <w:szCs w:val="22"/>
        </w:rPr>
        <w:t>agreement</w:t>
      </w:r>
      <w:r w:rsidRPr="00D5509E">
        <w:rPr>
          <w:sz w:val="22"/>
          <w:szCs w:val="22"/>
        </w:rPr>
        <w:t>.</w:t>
      </w:r>
    </w:p>
    <w:p w14:paraId="1467696A" w14:textId="77777777" w:rsidR="00A546A8" w:rsidRPr="00D5509E" w:rsidRDefault="00A546A8" w:rsidP="00E006AB">
      <w:pPr>
        <w:pStyle w:val="24"/>
        <w:shd w:val="clear" w:color="auto" w:fill="auto"/>
        <w:spacing w:after="0" w:line="274" w:lineRule="exact"/>
        <w:jc w:val="both"/>
        <w:rPr>
          <w:sz w:val="22"/>
          <w:szCs w:val="22"/>
        </w:rPr>
      </w:pPr>
      <w:r w:rsidRPr="00D5509E">
        <w:rPr>
          <w:sz w:val="22"/>
          <w:szCs w:val="22"/>
        </w:rPr>
        <w:t>- provide all the necessary information about products, services, prices, terms of delivery and other important aspects of the purchase.</w:t>
      </w:r>
    </w:p>
    <w:p w14:paraId="5E43BB6E" w14:textId="77777777" w:rsidR="00A546A8" w:rsidRPr="00D5509E" w:rsidRDefault="00A546A8" w:rsidP="00E006AB">
      <w:pPr>
        <w:pStyle w:val="24"/>
        <w:shd w:val="clear" w:color="auto" w:fill="auto"/>
        <w:spacing w:after="0" w:line="278" w:lineRule="exact"/>
        <w:jc w:val="both"/>
        <w:rPr>
          <w:sz w:val="22"/>
          <w:szCs w:val="22"/>
        </w:rPr>
      </w:pPr>
      <w:r w:rsidRPr="00D5509E">
        <w:rPr>
          <w:sz w:val="22"/>
          <w:szCs w:val="22"/>
        </w:rPr>
        <w:t>- not to commit corrupt acts, such as bribery, bribery, fraud, and other actions contrary to the law and ethical standards.</w:t>
      </w:r>
    </w:p>
    <w:p w14:paraId="677A6671" w14:textId="77777777" w:rsidR="00A546A8" w:rsidRPr="00D5509E" w:rsidRDefault="00A546A8" w:rsidP="00E006AB">
      <w:pPr>
        <w:pStyle w:val="24"/>
        <w:shd w:val="clear" w:color="auto" w:fill="auto"/>
        <w:spacing w:after="0" w:line="274" w:lineRule="exact"/>
        <w:jc w:val="both"/>
        <w:rPr>
          <w:sz w:val="22"/>
          <w:szCs w:val="22"/>
        </w:rPr>
      </w:pPr>
      <w:r w:rsidRPr="00D5509E">
        <w:rPr>
          <w:sz w:val="22"/>
          <w:szCs w:val="22"/>
        </w:rPr>
        <w:t>- refrain from committing any unacceptable or illegal actions that may harm the other party, third parties or society as a whole.</w:t>
      </w:r>
    </w:p>
    <w:p w14:paraId="5DB8E413" w14:textId="77777777" w:rsidR="00A546A8" w:rsidRPr="00D5509E" w:rsidRDefault="00A546A8" w:rsidP="00E006AB">
      <w:pPr>
        <w:pStyle w:val="24"/>
        <w:shd w:val="clear" w:color="auto" w:fill="auto"/>
        <w:spacing w:after="0" w:line="274" w:lineRule="exact"/>
        <w:jc w:val="both"/>
        <w:rPr>
          <w:sz w:val="22"/>
          <w:szCs w:val="22"/>
        </w:rPr>
      </w:pPr>
      <w:r w:rsidRPr="00D5509E">
        <w:rPr>
          <w:sz w:val="22"/>
          <w:szCs w:val="22"/>
        </w:rPr>
        <w:t>- prevent a conflict of interest and take measures to prevent possible situations that may create the impression of bias or illegality of the actions of the party.</w:t>
      </w:r>
    </w:p>
    <w:p w14:paraId="1912A3BE" w14:textId="1F2D4E98" w:rsidR="00A546A8" w:rsidRPr="00D5509E" w:rsidRDefault="00A546A8" w:rsidP="00E006AB">
      <w:pPr>
        <w:pStyle w:val="24"/>
        <w:shd w:val="clear" w:color="auto" w:fill="auto"/>
        <w:spacing w:after="0" w:line="274" w:lineRule="exact"/>
        <w:jc w:val="both"/>
        <w:rPr>
          <w:sz w:val="22"/>
          <w:szCs w:val="22"/>
        </w:rPr>
      </w:pPr>
      <w:r w:rsidRPr="00D5509E">
        <w:rPr>
          <w:sz w:val="22"/>
          <w:szCs w:val="22"/>
        </w:rPr>
        <w:t xml:space="preserve">- it is unacceptable to stimulate employees of the procuring entity in any way, including the payment of any money and/or the transfer of other material values, directly or indirectly, to influence the actions or decisions of these </w:t>
      </w:r>
      <w:r w:rsidR="002174C6" w:rsidRPr="00D5509E">
        <w:rPr>
          <w:sz w:val="22"/>
          <w:szCs w:val="22"/>
        </w:rPr>
        <w:t>people</w:t>
      </w:r>
      <w:r w:rsidRPr="00D5509E">
        <w:rPr>
          <w:sz w:val="22"/>
          <w:szCs w:val="22"/>
        </w:rPr>
        <w:t xml:space="preserve"> in order to obtain any advantages or achieve other </w:t>
      </w:r>
      <w:r w:rsidR="002174C6" w:rsidRPr="00D5509E">
        <w:rPr>
          <w:sz w:val="22"/>
          <w:szCs w:val="22"/>
        </w:rPr>
        <w:t>goals.</w:t>
      </w:r>
    </w:p>
    <w:p w14:paraId="7B2066A5" w14:textId="77777777" w:rsidR="00A546A8" w:rsidRPr="00D5509E" w:rsidRDefault="00A546A8" w:rsidP="00E006AB">
      <w:pPr>
        <w:pStyle w:val="24"/>
        <w:shd w:val="clear" w:color="auto" w:fill="auto"/>
        <w:spacing w:after="0" w:line="317" w:lineRule="exact"/>
        <w:jc w:val="both"/>
        <w:rPr>
          <w:sz w:val="22"/>
          <w:szCs w:val="22"/>
        </w:rPr>
      </w:pPr>
      <w:r w:rsidRPr="00D5509E">
        <w:rPr>
          <w:sz w:val="22"/>
          <w:szCs w:val="22"/>
        </w:rPr>
        <w:t>- not to carry out actions that can be qualified as extortion of a bribe/illegal remuneration or the subject of commercial bribery, mediation in commercial bribery/bribery, giving/receiving a bribe, commercial bribery, illegal remuneration, abuse of power, as well as other actions that violate the requirements of the legislation of the Kyrgyz Republic in the field of combating corruption;</w:t>
      </w:r>
    </w:p>
    <w:p w14:paraId="250EB1BE" w14:textId="77777777" w:rsidR="00A546A8" w:rsidRPr="00D5509E" w:rsidRDefault="00A546A8" w:rsidP="00E006AB">
      <w:pPr>
        <w:pStyle w:val="120"/>
        <w:shd w:val="clear" w:color="auto" w:fill="auto"/>
        <w:spacing w:before="0" w:line="220" w:lineRule="exact"/>
        <w:rPr>
          <w:sz w:val="22"/>
          <w:szCs w:val="22"/>
        </w:rPr>
      </w:pPr>
    </w:p>
    <w:p w14:paraId="3FC58BC8" w14:textId="77777777" w:rsidR="00A546A8" w:rsidRPr="00D5509E" w:rsidRDefault="00A546A8" w:rsidP="00E006AB">
      <w:pPr>
        <w:pStyle w:val="120"/>
        <w:shd w:val="clear" w:color="auto" w:fill="auto"/>
        <w:spacing w:before="0" w:line="220" w:lineRule="exact"/>
        <w:rPr>
          <w:sz w:val="22"/>
          <w:szCs w:val="22"/>
        </w:rPr>
      </w:pPr>
      <w:r w:rsidRPr="00D5509E">
        <w:rPr>
          <w:sz w:val="22"/>
          <w:szCs w:val="22"/>
        </w:rPr>
        <w:t xml:space="preserve">Supplier </w:t>
      </w:r>
    </w:p>
    <w:p w14:paraId="1890559E" w14:textId="77777777" w:rsidR="00A546A8" w:rsidRPr="00D5509E" w:rsidRDefault="00A546A8" w:rsidP="00E006AB">
      <w:pPr>
        <w:pStyle w:val="120"/>
        <w:shd w:val="clear" w:color="auto" w:fill="auto"/>
        <w:spacing w:before="0" w:line="220" w:lineRule="exact"/>
        <w:rPr>
          <w:sz w:val="22"/>
          <w:szCs w:val="22"/>
        </w:rPr>
      </w:pPr>
    </w:p>
    <w:p w14:paraId="74315FB1" w14:textId="405347CD" w:rsidR="00A546A8" w:rsidRPr="00D5509E" w:rsidRDefault="00A546A8" w:rsidP="00E006AB">
      <w:pPr>
        <w:pStyle w:val="120"/>
        <w:shd w:val="clear" w:color="auto" w:fill="auto"/>
        <w:spacing w:before="0" w:line="220" w:lineRule="exact"/>
        <w:rPr>
          <w:sz w:val="22"/>
          <w:szCs w:val="22"/>
        </w:rPr>
      </w:pPr>
      <w:r w:rsidRPr="00D5509E">
        <w:rPr>
          <w:sz w:val="22"/>
          <w:szCs w:val="22"/>
        </w:rPr>
        <w:t xml:space="preserve">Full name, </w:t>
      </w:r>
      <w:r w:rsidR="002174C6" w:rsidRPr="00D5509E">
        <w:rPr>
          <w:sz w:val="22"/>
          <w:szCs w:val="22"/>
        </w:rPr>
        <w:t>position _</w:t>
      </w:r>
      <w:r w:rsidRPr="00D5509E">
        <w:rPr>
          <w:sz w:val="22"/>
          <w:szCs w:val="22"/>
        </w:rPr>
        <w:t>____________________/</w:t>
      </w:r>
      <w:r w:rsidR="0088216E" w:rsidRPr="00D5509E">
        <w:rPr>
          <w:sz w:val="22"/>
          <w:szCs w:val="22"/>
        </w:rPr>
        <w:t>Stamp</w:t>
      </w:r>
    </w:p>
    <w:p w14:paraId="25310C94" w14:textId="30BD830F" w:rsidR="00A546A8" w:rsidRPr="00D5509E" w:rsidRDefault="00A546A8" w:rsidP="00E006AB">
      <w:pPr>
        <w:spacing w:after="0"/>
        <w:rPr>
          <w:rFonts w:ascii="Times New Roman" w:eastAsia="Times New Roman" w:hAnsi="Times New Roman" w:cs="Times New Roman"/>
          <w:i/>
          <w:iCs/>
          <w:sz w:val="22"/>
          <w:szCs w:val="22"/>
        </w:rPr>
      </w:pPr>
      <w:r w:rsidRPr="00D5509E">
        <w:rPr>
          <w:rFonts w:ascii="Times New Roman" w:hAnsi="Times New Roman" w:cs="Times New Roman"/>
          <w:sz w:val="22"/>
          <w:szCs w:val="22"/>
        </w:rPr>
        <w:br w:type="page"/>
      </w:r>
    </w:p>
    <w:p w14:paraId="5B81B5ED" w14:textId="7BED9603" w:rsidR="00363020" w:rsidRPr="00D5509E" w:rsidRDefault="00363020" w:rsidP="00E006AB">
      <w:pPr>
        <w:spacing w:after="0"/>
        <w:jc w:val="right"/>
        <w:rPr>
          <w:rFonts w:ascii="Times New Roman" w:hAnsi="Times New Roman" w:cs="Times New Roman"/>
          <w:b/>
          <w:bCs/>
          <w:sz w:val="22"/>
          <w:szCs w:val="22"/>
        </w:rPr>
      </w:pPr>
      <w:r w:rsidRPr="00D5509E">
        <w:rPr>
          <w:rFonts w:ascii="Times New Roman" w:hAnsi="Times New Roman" w:cs="Times New Roman"/>
          <w:b/>
          <w:bCs/>
          <w:sz w:val="22"/>
          <w:szCs w:val="22"/>
        </w:rPr>
        <w:lastRenderedPageBreak/>
        <w:t xml:space="preserve">Appendix </w:t>
      </w:r>
      <w:r w:rsidR="0088216E" w:rsidRPr="00D5509E">
        <w:rPr>
          <w:rFonts w:ascii="Times New Roman" w:hAnsi="Times New Roman" w:cs="Times New Roman"/>
          <w:b/>
          <w:bCs/>
          <w:sz w:val="22"/>
          <w:szCs w:val="22"/>
        </w:rPr>
        <w:t>#</w:t>
      </w:r>
      <w:r w:rsidRPr="00D5509E">
        <w:rPr>
          <w:rFonts w:ascii="Times New Roman" w:hAnsi="Times New Roman" w:cs="Times New Roman"/>
          <w:b/>
          <w:bCs/>
          <w:sz w:val="22"/>
          <w:szCs w:val="22"/>
        </w:rPr>
        <w:t>4</w:t>
      </w:r>
    </w:p>
    <w:p w14:paraId="48B7457F" w14:textId="77777777" w:rsidR="00363020" w:rsidRPr="00D5509E" w:rsidRDefault="00363020" w:rsidP="00E006AB">
      <w:pPr>
        <w:spacing w:after="0" w:line="276" w:lineRule="auto"/>
        <w:jc w:val="center"/>
        <w:rPr>
          <w:rFonts w:ascii="Times New Roman" w:eastAsia="Times New Roman" w:hAnsi="Times New Roman" w:cs="Times New Roman"/>
          <w:b/>
          <w:bCs/>
          <w:caps/>
          <w:sz w:val="22"/>
          <w:szCs w:val="22"/>
          <w:lang w:eastAsia="ru-RU"/>
        </w:rPr>
      </w:pPr>
      <w:r w:rsidRPr="00D5509E">
        <w:rPr>
          <w:rFonts w:ascii="Times New Roman" w:eastAsia="Times New Roman" w:hAnsi="Times New Roman" w:cs="Times New Roman"/>
          <w:b/>
          <w:bCs/>
          <w:caps/>
          <w:sz w:val="22"/>
          <w:szCs w:val="22"/>
          <w:lang w:eastAsia="ru-RU"/>
        </w:rPr>
        <w:t>DECLARATION guaranteeing the tender bid</w:t>
      </w:r>
    </w:p>
    <w:p w14:paraId="39F1FA3F" w14:textId="77777777" w:rsidR="00363020" w:rsidRPr="00D5509E"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131A05F3" w14:textId="77777777" w:rsidR="00363020" w:rsidRPr="00D5509E"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6863048E" w14:textId="77777777" w:rsidR="00363020" w:rsidRPr="00D5509E"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0EFF1465" w14:textId="77777777" w:rsidR="0088216E" w:rsidRPr="00D5509E" w:rsidRDefault="00363020" w:rsidP="00E006AB">
      <w:pPr>
        <w:spacing w:after="0" w:line="276" w:lineRule="auto"/>
        <w:jc w:val="both"/>
        <w:rPr>
          <w:rFonts w:ascii="Times New Roman" w:hAnsi="Times New Roman" w:cs="Times New Roman"/>
          <w:sz w:val="22"/>
          <w:szCs w:val="22"/>
        </w:rPr>
      </w:pPr>
      <w:r w:rsidRPr="00D5509E">
        <w:rPr>
          <w:rFonts w:ascii="Times New Roman" w:eastAsia="Times New Roman" w:hAnsi="Times New Roman" w:cs="Times New Roman"/>
          <w:b/>
          <w:bCs/>
          <w:caps/>
          <w:sz w:val="22"/>
          <w:szCs w:val="22"/>
          <w:lang w:eastAsia="ru-RU"/>
        </w:rPr>
        <w:t xml:space="preserve">To: </w:t>
      </w:r>
      <w:r w:rsidRPr="00D5509E">
        <w:rPr>
          <w:rFonts w:ascii="Times New Roman" w:hAnsi="Times New Roman" w:cs="Times New Roman"/>
          <w:sz w:val="22"/>
          <w:szCs w:val="22"/>
        </w:rPr>
        <w:t xml:space="preserve">______________________________________________________ </w:t>
      </w:r>
    </w:p>
    <w:p w14:paraId="1B660521" w14:textId="12827D08" w:rsidR="0088216E"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Procurement </w:t>
      </w:r>
      <w:r w:rsidR="0088216E" w:rsidRPr="00D5509E">
        <w:rPr>
          <w:rFonts w:ascii="Times New Roman" w:hAnsi="Times New Roman" w:cs="Times New Roman"/>
          <w:sz w:val="22"/>
          <w:szCs w:val="22"/>
        </w:rPr>
        <w:t>title</w:t>
      </w:r>
      <w:r w:rsidRPr="00D5509E">
        <w:rPr>
          <w:rFonts w:ascii="Times New Roman" w:hAnsi="Times New Roman" w:cs="Times New Roman"/>
          <w:sz w:val="22"/>
          <w:szCs w:val="22"/>
        </w:rPr>
        <w:t xml:space="preserve"> ____________________________________________ </w:t>
      </w:r>
    </w:p>
    <w:p w14:paraId="22097FCA" w14:textId="20347DD9" w:rsidR="0088216E"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Procurement </w:t>
      </w:r>
      <w:r w:rsidR="0088216E" w:rsidRPr="00D5509E">
        <w:rPr>
          <w:rFonts w:ascii="Times New Roman" w:hAnsi="Times New Roman" w:cs="Times New Roman"/>
          <w:sz w:val="22"/>
          <w:szCs w:val="22"/>
        </w:rPr>
        <w:t>n</w:t>
      </w:r>
      <w:r w:rsidRPr="00D5509E">
        <w:rPr>
          <w:rFonts w:ascii="Times New Roman" w:hAnsi="Times New Roman" w:cs="Times New Roman"/>
          <w:sz w:val="22"/>
          <w:szCs w:val="22"/>
        </w:rPr>
        <w:t xml:space="preserve">umber ______________________________________________ </w:t>
      </w:r>
    </w:p>
    <w:p w14:paraId="58BA6E1E" w14:textId="77777777" w:rsidR="0088216E" w:rsidRPr="00D5509E" w:rsidRDefault="0088216E" w:rsidP="00E006AB">
      <w:pPr>
        <w:spacing w:after="0" w:line="276" w:lineRule="auto"/>
        <w:jc w:val="both"/>
        <w:rPr>
          <w:rFonts w:ascii="Times New Roman" w:hAnsi="Times New Roman" w:cs="Times New Roman"/>
          <w:sz w:val="22"/>
          <w:szCs w:val="22"/>
        </w:rPr>
      </w:pPr>
    </w:p>
    <w:p w14:paraId="39B2AE27" w14:textId="286DDDDC"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We understand that according to your terms, bids must be supported by a Declaration guaranteeing a bid/bid. We agree that we will be automatically excluded from participation in procurement under any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for a period of 2 years, starting from the date of receipt of the notification from KGC, if we </w:t>
      </w:r>
      <w:r w:rsidR="002174C6" w:rsidRPr="00D5509E">
        <w:rPr>
          <w:rFonts w:ascii="Times New Roman" w:hAnsi="Times New Roman" w:cs="Times New Roman"/>
          <w:sz w:val="22"/>
          <w:szCs w:val="22"/>
        </w:rPr>
        <w:t>are</w:t>
      </w:r>
      <w:r w:rsidRPr="00D5509E">
        <w:rPr>
          <w:rFonts w:ascii="Times New Roman" w:hAnsi="Times New Roman" w:cs="Times New Roman"/>
          <w:sz w:val="22"/>
          <w:szCs w:val="22"/>
        </w:rPr>
        <w:t xml:space="preserve"> in breach of our obligations under the terms of the procurement documentation because we: </w:t>
      </w:r>
    </w:p>
    <w:p w14:paraId="16CFDD98" w14:textId="24E21571"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1) have withdrawn their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within the period of its validity specified by the Supplier in the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or </w:t>
      </w:r>
    </w:p>
    <w:p w14:paraId="3F74D860" w14:textId="77777777"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2) have not accepted the correction of arithmetic errors in accordance with the Instructions for Suppliers; or </w:t>
      </w:r>
    </w:p>
    <w:p w14:paraId="009DB1A5" w14:textId="67E3D886"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(3) Having been notified by the procuring entity of the award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 failed or refused to sign the </w:t>
      </w:r>
      <w:r w:rsidR="00DA303D" w:rsidRPr="00D5509E">
        <w:rPr>
          <w:rFonts w:ascii="Times New Roman" w:hAnsi="Times New Roman" w:cs="Times New Roman"/>
          <w:sz w:val="22"/>
          <w:szCs w:val="22"/>
        </w:rPr>
        <w:t>agreement</w:t>
      </w:r>
      <w:r w:rsidR="002174C6"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3CB4C775" w14:textId="4B8B19AF"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 failed or refused to provide a </w:t>
      </w:r>
      <w:r w:rsidR="004154E8" w:rsidRPr="00D5509E">
        <w:rPr>
          <w:rFonts w:ascii="Times New Roman" w:hAnsi="Times New Roman" w:cs="Times New Roman"/>
          <w:sz w:val="22"/>
          <w:szCs w:val="22"/>
        </w:rPr>
        <w:t xml:space="preserve">bond </w:t>
      </w:r>
      <w:r w:rsidRPr="00D5509E">
        <w:rPr>
          <w:rFonts w:ascii="Times New Roman" w:hAnsi="Times New Roman" w:cs="Times New Roman"/>
          <w:sz w:val="22"/>
          <w:szCs w:val="22"/>
        </w:rPr>
        <w:t xml:space="preserve">guarantee for the performance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in accordance with the procurement documentation.</w:t>
      </w:r>
    </w:p>
    <w:p w14:paraId="7E54960A" w14:textId="031906CC"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 It is hereby confirmed that in case of non-fulfillment of any of these obligations, KGC has the right to initiate the inclusion of us in the </w:t>
      </w:r>
      <w:r w:rsidR="00F2166A" w:rsidRPr="00D5509E">
        <w:rPr>
          <w:rFonts w:ascii="Times New Roman" w:hAnsi="Times New Roman" w:cs="Times New Roman"/>
          <w:sz w:val="22"/>
          <w:szCs w:val="22"/>
        </w:rPr>
        <w:t>“</w:t>
      </w:r>
      <w:r w:rsidRPr="00D5509E">
        <w:rPr>
          <w:rFonts w:ascii="Times New Roman" w:hAnsi="Times New Roman" w:cs="Times New Roman"/>
          <w:sz w:val="22"/>
          <w:szCs w:val="22"/>
        </w:rPr>
        <w:t>Database of Unscrupulous Suppliers</w:t>
      </w:r>
      <w:r w:rsidR="00204432" w:rsidRPr="00D5509E">
        <w:rPr>
          <w:rFonts w:ascii="Times New Roman" w:hAnsi="Times New Roman" w:cs="Times New Roman"/>
          <w:sz w:val="22"/>
          <w:szCs w:val="22"/>
        </w:rPr>
        <w:t>.”</w:t>
      </w:r>
      <w:r w:rsidRPr="00D5509E">
        <w:rPr>
          <w:rFonts w:ascii="Times New Roman" w:hAnsi="Times New Roman" w:cs="Times New Roman"/>
          <w:sz w:val="22"/>
          <w:szCs w:val="22"/>
        </w:rPr>
        <w:t xml:space="preserve"> </w:t>
      </w:r>
    </w:p>
    <w:p w14:paraId="771C89AD" w14:textId="66E2CD78" w:rsidR="00F2166A"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This declaration will expire if we are not a winning participant after we have received your notification of the name of the winning participant or 28 days after the expiry of our </w:t>
      </w:r>
      <w:r w:rsidR="007C06E1" w:rsidRPr="00D5509E">
        <w:rPr>
          <w:rFonts w:ascii="Times New Roman" w:hAnsi="Times New Roman" w:cs="Times New Roman"/>
          <w:sz w:val="22"/>
          <w:szCs w:val="22"/>
        </w:rPr>
        <w:t>proposal</w:t>
      </w:r>
      <w:r w:rsidRPr="00D5509E">
        <w:rPr>
          <w:rFonts w:ascii="Times New Roman" w:hAnsi="Times New Roman" w:cs="Times New Roman"/>
          <w:sz w:val="22"/>
          <w:szCs w:val="22"/>
        </w:rPr>
        <w:t xml:space="preserve">. </w:t>
      </w:r>
    </w:p>
    <w:p w14:paraId="0CA2B1D6" w14:textId="77777777" w:rsidR="00F2166A" w:rsidRPr="00D5509E" w:rsidRDefault="00F2166A" w:rsidP="00E006AB">
      <w:pPr>
        <w:spacing w:after="0" w:line="276" w:lineRule="auto"/>
        <w:jc w:val="both"/>
        <w:rPr>
          <w:rFonts w:ascii="Times New Roman" w:hAnsi="Times New Roman" w:cs="Times New Roman"/>
          <w:sz w:val="22"/>
          <w:szCs w:val="22"/>
        </w:rPr>
      </w:pPr>
    </w:p>
    <w:p w14:paraId="0E0CEE54" w14:textId="2307FCF8" w:rsidR="00363020" w:rsidRPr="00D5509E" w:rsidRDefault="00363020" w:rsidP="00E006AB">
      <w:pPr>
        <w:spacing w:after="0" w:line="276" w:lineRule="auto"/>
        <w:jc w:val="both"/>
        <w:rPr>
          <w:rFonts w:ascii="Times New Roman" w:hAnsi="Times New Roman" w:cs="Times New Roman"/>
          <w:sz w:val="22"/>
          <w:szCs w:val="22"/>
        </w:rPr>
      </w:pPr>
      <w:r w:rsidRPr="00D5509E">
        <w:rPr>
          <w:rFonts w:ascii="Times New Roman" w:hAnsi="Times New Roman" w:cs="Times New Roman"/>
          <w:sz w:val="22"/>
          <w:szCs w:val="22"/>
        </w:rPr>
        <w:t>Supplier ________________</w:t>
      </w:r>
      <w:r w:rsidR="002174C6" w:rsidRPr="00D5509E">
        <w:rPr>
          <w:rFonts w:ascii="Times New Roman" w:hAnsi="Times New Roman" w:cs="Times New Roman"/>
          <w:sz w:val="22"/>
          <w:szCs w:val="22"/>
        </w:rPr>
        <w:t>__</w:t>
      </w:r>
      <w:r w:rsidRPr="00D5509E">
        <w:rPr>
          <w:rFonts w:ascii="Times New Roman" w:hAnsi="Times New Roman" w:cs="Times New Roman"/>
          <w:sz w:val="22"/>
          <w:szCs w:val="22"/>
        </w:rPr>
        <w:t xml:space="preserve">____________________________/ (signature) (full name, position) </w:t>
      </w:r>
      <w:r w:rsidR="00F2166A" w:rsidRPr="00D5509E">
        <w:rPr>
          <w:rFonts w:ascii="Times New Roman" w:hAnsi="Times New Roman" w:cs="Times New Roman"/>
          <w:sz w:val="22"/>
          <w:szCs w:val="22"/>
        </w:rPr>
        <w:t>stamp</w:t>
      </w:r>
    </w:p>
    <w:p w14:paraId="211FC730" w14:textId="77777777" w:rsidR="00363020" w:rsidRPr="00D5509E" w:rsidRDefault="00363020" w:rsidP="00E006AB">
      <w:pPr>
        <w:spacing w:after="0" w:line="276" w:lineRule="auto"/>
        <w:jc w:val="both"/>
        <w:rPr>
          <w:rFonts w:ascii="Times New Roman" w:hAnsi="Times New Roman" w:cs="Times New Roman"/>
          <w:sz w:val="22"/>
          <w:szCs w:val="22"/>
        </w:rPr>
      </w:pPr>
    </w:p>
    <w:p w14:paraId="316A1F0A" w14:textId="77777777" w:rsidR="00363020" w:rsidRPr="00D5509E" w:rsidRDefault="00363020" w:rsidP="00E006AB">
      <w:pPr>
        <w:spacing w:after="0"/>
        <w:jc w:val="right"/>
        <w:rPr>
          <w:rFonts w:ascii="Times New Roman" w:hAnsi="Times New Roman" w:cs="Times New Roman"/>
          <w:b/>
          <w:bCs/>
          <w:sz w:val="22"/>
          <w:szCs w:val="22"/>
        </w:rPr>
      </w:pPr>
    </w:p>
    <w:p w14:paraId="522054E9" w14:textId="7D9F7949" w:rsidR="00363020" w:rsidRPr="00D5509E" w:rsidRDefault="00363020" w:rsidP="00E006AB">
      <w:pPr>
        <w:spacing w:after="0"/>
        <w:rPr>
          <w:rFonts w:ascii="Times New Roman" w:hAnsi="Times New Roman" w:cs="Times New Roman"/>
          <w:b/>
          <w:bCs/>
          <w:sz w:val="22"/>
          <w:szCs w:val="22"/>
        </w:rPr>
      </w:pPr>
      <w:r w:rsidRPr="00D5509E">
        <w:rPr>
          <w:rFonts w:ascii="Times New Roman" w:hAnsi="Times New Roman" w:cs="Times New Roman"/>
          <w:b/>
          <w:bCs/>
          <w:sz w:val="22"/>
          <w:szCs w:val="22"/>
        </w:rPr>
        <w:br w:type="page"/>
      </w:r>
    </w:p>
    <w:p w14:paraId="69FCE68B" w14:textId="77777777" w:rsidR="00363020" w:rsidRPr="00D5509E" w:rsidRDefault="00363020" w:rsidP="00E006AB">
      <w:pPr>
        <w:spacing w:after="0"/>
        <w:jc w:val="right"/>
        <w:rPr>
          <w:rFonts w:ascii="Times New Roman" w:hAnsi="Times New Roman" w:cs="Times New Roman"/>
          <w:b/>
          <w:bCs/>
          <w:sz w:val="22"/>
          <w:szCs w:val="22"/>
        </w:rPr>
      </w:pPr>
    </w:p>
    <w:p w14:paraId="4465E468" w14:textId="0996345E" w:rsidR="00FA61C9" w:rsidRPr="00D5509E" w:rsidRDefault="00FA61C9" w:rsidP="00E006AB">
      <w:pPr>
        <w:spacing w:after="0"/>
        <w:jc w:val="right"/>
        <w:rPr>
          <w:rFonts w:ascii="Times New Roman" w:hAnsi="Times New Roman" w:cs="Times New Roman"/>
          <w:b/>
          <w:bCs/>
          <w:sz w:val="22"/>
          <w:szCs w:val="22"/>
        </w:rPr>
      </w:pPr>
      <w:r w:rsidRPr="00D5509E">
        <w:rPr>
          <w:rFonts w:ascii="Times New Roman" w:hAnsi="Times New Roman" w:cs="Times New Roman"/>
          <w:b/>
          <w:bCs/>
          <w:sz w:val="22"/>
          <w:szCs w:val="22"/>
        </w:rPr>
        <w:t xml:space="preserve">Appendix </w:t>
      </w:r>
      <w:r w:rsidR="00F2166A" w:rsidRPr="00D5509E">
        <w:rPr>
          <w:rFonts w:ascii="Times New Roman" w:hAnsi="Times New Roman" w:cs="Times New Roman"/>
          <w:b/>
          <w:bCs/>
          <w:sz w:val="22"/>
          <w:szCs w:val="22"/>
        </w:rPr>
        <w:t>#</w:t>
      </w:r>
      <w:r w:rsidRPr="00D5509E">
        <w:rPr>
          <w:rFonts w:ascii="Times New Roman" w:hAnsi="Times New Roman" w:cs="Times New Roman"/>
          <w:b/>
          <w:bCs/>
          <w:sz w:val="22"/>
          <w:szCs w:val="22"/>
        </w:rPr>
        <w:t>5</w:t>
      </w:r>
    </w:p>
    <w:p w14:paraId="37FBE8C7" w14:textId="646D8515" w:rsidR="00FA61C9" w:rsidRPr="00D5509E" w:rsidRDefault="00FA61C9" w:rsidP="00E006AB">
      <w:pPr>
        <w:spacing w:after="0"/>
        <w:jc w:val="center"/>
        <w:rPr>
          <w:rFonts w:ascii="Times New Roman" w:hAnsi="Times New Roman" w:cs="Times New Roman"/>
          <w:b/>
          <w:bCs/>
          <w:sz w:val="22"/>
          <w:szCs w:val="22"/>
        </w:rPr>
      </w:pPr>
      <w:r w:rsidRPr="00D5509E">
        <w:rPr>
          <w:rFonts w:ascii="Times New Roman" w:hAnsi="Times New Roman" w:cs="Times New Roman"/>
          <w:b/>
          <w:bCs/>
          <w:sz w:val="22"/>
          <w:szCs w:val="22"/>
        </w:rPr>
        <w:t>QUALIFICATION INFORMATION</w:t>
      </w:r>
    </w:p>
    <w:p w14:paraId="54376486" w14:textId="16E304ED"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Supplier </w:t>
      </w:r>
      <w:r w:rsidR="002174C6" w:rsidRPr="00D5509E">
        <w:rPr>
          <w:rFonts w:ascii="Times New Roman" w:hAnsi="Times New Roman" w:cs="Times New Roman"/>
          <w:sz w:val="22"/>
          <w:szCs w:val="22"/>
        </w:rPr>
        <w:t>Name: _</w:t>
      </w:r>
      <w:r w:rsidRPr="00D5509E">
        <w:rPr>
          <w:rFonts w:ascii="Times New Roman" w:hAnsi="Times New Roman" w:cs="Times New Roman"/>
          <w:sz w:val="22"/>
          <w:szCs w:val="22"/>
        </w:rPr>
        <w:t xml:space="preserve">________________________________________________ </w:t>
      </w:r>
    </w:p>
    <w:p w14:paraId="6C185C97"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In the event that the Supplier submits a Proposal on behalf of a simple partnership (consortium), the information specified in clause 1 below shall be provided for each partner of the simple partnership (consortium). </w:t>
      </w:r>
    </w:p>
    <w:p w14:paraId="3FEFEA67" w14:textId="03376AAC" w:rsidR="00FA61C9" w:rsidRPr="00D5509E" w:rsidRDefault="000D4106"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Supplier’s Legar Address: _</w:t>
      </w:r>
      <w:r w:rsidR="00FA61C9" w:rsidRPr="00D5509E">
        <w:rPr>
          <w:rFonts w:ascii="Times New Roman" w:hAnsi="Times New Roman" w:cs="Times New Roman"/>
          <w:sz w:val="22"/>
          <w:szCs w:val="22"/>
        </w:rPr>
        <w:t xml:space="preserve">__________________________________________________ </w:t>
      </w:r>
    </w:p>
    <w:p w14:paraId="72003693" w14:textId="461F9FD8"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Supplier</w:t>
      </w:r>
      <w:r w:rsidR="009C7FB5" w:rsidRPr="00D5509E">
        <w:rPr>
          <w:rFonts w:ascii="Times New Roman" w:hAnsi="Times New Roman" w:cs="Times New Roman"/>
          <w:sz w:val="22"/>
          <w:szCs w:val="22"/>
        </w:rPr>
        <w:t>’</w:t>
      </w:r>
      <w:r w:rsidRPr="00D5509E">
        <w:rPr>
          <w:rFonts w:ascii="Times New Roman" w:hAnsi="Times New Roman" w:cs="Times New Roman"/>
          <w:sz w:val="22"/>
          <w:szCs w:val="22"/>
        </w:rPr>
        <w:t xml:space="preserve">s Registration </w:t>
      </w:r>
      <w:r w:rsidR="000D4106" w:rsidRPr="00D5509E">
        <w:rPr>
          <w:rFonts w:ascii="Times New Roman" w:hAnsi="Times New Roman" w:cs="Times New Roman"/>
          <w:sz w:val="22"/>
          <w:szCs w:val="22"/>
        </w:rPr>
        <w:t>Date: _</w:t>
      </w:r>
      <w:r w:rsidRPr="00D5509E">
        <w:rPr>
          <w:rFonts w:ascii="Times New Roman" w:hAnsi="Times New Roman" w:cs="Times New Roman"/>
          <w:sz w:val="22"/>
          <w:szCs w:val="22"/>
        </w:rPr>
        <w:t>____________________________________________________</w:t>
      </w:r>
    </w:p>
    <w:p w14:paraId="0D3A9859"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(attach copies of the Charter and an extract from the register of legal entities). </w:t>
      </w:r>
    </w:p>
    <w:p w14:paraId="09DD6DE3" w14:textId="77777777" w:rsidR="00FA61C9" w:rsidRPr="00D5509E" w:rsidRDefault="00FA61C9" w:rsidP="00E006AB">
      <w:pPr>
        <w:spacing w:after="0"/>
        <w:jc w:val="both"/>
        <w:rPr>
          <w:rFonts w:ascii="Times New Roman" w:hAnsi="Times New Roman" w:cs="Times New Roman"/>
          <w:sz w:val="22"/>
          <w:szCs w:val="22"/>
        </w:rPr>
      </w:pPr>
    </w:p>
    <w:p w14:paraId="5C1F8BAA" w14:textId="567A1146"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Main </w:t>
      </w:r>
      <w:r w:rsidR="002174C6" w:rsidRPr="00D5509E">
        <w:rPr>
          <w:rFonts w:ascii="Times New Roman" w:hAnsi="Times New Roman" w:cs="Times New Roman"/>
          <w:sz w:val="22"/>
          <w:szCs w:val="22"/>
        </w:rPr>
        <w:t>activity: _</w:t>
      </w:r>
      <w:r w:rsidRPr="00D5509E">
        <w:rPr>
          <w:rFonts w:ascii="Times New Roman" w:hAnsi="Times New Roman" w:cs="Times New Roman"/>
          <w:sz w:val="22"/>
          <w:szCs w:val="22"/>
        </w:rPr>
        <w:t xml:space="preserve">________________________________________________ </w:t>
      </w:r>
    </w:p>
    <w:p w14:paraId="413DEF85" w14:textId="428C65F0"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License/Permit </w:t>
      </w:r>
      <w:r w:rsidR="002174C6" w:rsidRPr="00D5509E">
        <w:rPr>
          <w:rFonts w:ascii="Times New Roman" w:hAnsi="Times New Roman" w:cs="Times New Roman"/>
          <w:sz w:val="22"/>
          <w:szCs w:val="22"/>
        </w:rPr>
        <w:t>Data: _</w:t>
      </w:r>
      <w:r w:rsidRPr="00D5509E">
        <w:rPr>
          <w:rFonts w:ascii="Times New Roman" w:hAnsi="Times New Roman" w:cs="Times New Roman"/>
          <w:sz w:val="22"/>
          <w:szCs w:val="22"/>
        </w:rPr>
        <w:t xml:space="preserve">______________________________________________ </w:t>
      </w:r>
    </w:p>
    <w:p w14:paraId="001A9757" w14:textId="48F08A5F"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(attach copies of </w:t>
      </w:r>
      <w:r w:rsidR="00204432" w:rsidRPr="00D5509E">
        <w:rPr>
          <w:rFonts w:ascii="Times New Roman" w:hAnsi="Times New Roman" w:cs="Times New Roman"/>
          <w:sz w:val="22"/>
          <w:szCs w:val="22"/>
        </w:rPr>
        <w:t>licenses if</w:t>
      </w:r>
      <w:r w:rsidRPr="00D5509E">
        <w:rPr>
          <w:rFonts w:ascii="Times New Roman" w:hAnsi="Times New Roman" w:cs="Times New Roman"/>
          <w:sz w:val="22"/>
          <w:szCs w:val="22"/>
        </w:rPr>
        <w:t xml:space="preserve"> the activity is licensed) </w:t>
      </w:r>
    </w:p>
    <w:p w14:paraId="3413DBF9" w14:textId="6E815408" w:rsidR="000D4106" w:rsidRPr="00D5509E" w:rsidRDefault="00FA61C9" w:rsidP="00EE08AE">
      <w:pPr>
        <w:pStyle w:val="a7"/>
        <w:numPr>
          <w:ilvl w:val="0"/>
          <w:numId w:val="10"/>
        </w:num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The total volume of similar/similar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s performed during the __________________________</w:t>
      </w:r>
    </w:p>
    <w:p w14:paraId="2215CEDC" w14:textId="1D519FB2" w:rsidR="00FA61C9" w:rsidRPr="00D5509E" w:rsidRDefault="00FA61C9" w:rsidP="000D4106">
      <w:pPr>
        <w:spacing w:after="0"/>
        <w:ind w:left="360"/>
        <w:jc w:val="both"/>
        <w:rPr>
          <w:rFonts w:ascii="Times New Roman" w:hAnsi="Times New Roman" w:cs="Times New Roman"/>
          <w:sz w:val="22"/>
          <w:szCs w:val="22"/>
        </w:rPr>
      </w:pPr>
      <w:r w:rsidRPr="00D5509E">
        <w:rPr>
          <w:rFonts w:ascii="Times New Roman" w:hAnsi="Times New Roman" w:cs="Times New Roman"/>
          <w:sz w:val="22"/>
          <w:szCs w:val="22"/>
        </w:rPr>
        <w:t xml:space="preserve">(specify the period required by the procurement documentation) in the amount of KGS ____________________, with the provision of copies of acts of acceptance and transfer of goods, work performed or services </w:t>
      </w:r>
      <w:r w:rsidR="002174C6" w:rsidRPr="00D5509E">
        <w:rPr>
          <w:rFonts w:ascii="Times New Roman" w:hAnsi="Times New Roman" w:cs="Times New Roman"/>
          <w:sz w:val="22"/>
          <w:szCs w:val="22"/>
        </w:rPr>
        <w:t>rendered.</w:t>
      </w:r>
    </w:p>
    <w:p w14:paraId="39AD9769" w14:textId="77777777" w:rsidR="00FA61C9" w:rsidRPr="00D5509E" w:rsidRDefault="00FA61C9" w:rsidP="00E006AB">
      <w:pPr>
        <w:spacing w:after="0"/>
        <w:jc w:val="both"/>
        <w:rPr>
          <w:rFonts w:ascii="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D5509E"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Item</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0DF9271"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Terms of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performance</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01E98E31"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Customer party under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(name, address, contact phone numbers)</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4D237C5A" w:rsidR="00FA61C9" w:rsidRPr="00D5509E" w:rsidRDefault="00DA303D"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Agreement</w:t>
            </w:r>
            <w:r w:rsidR="00FA61C9" w:rsidRPr="00D5509E">
              <w:rPr>
                <w:rFonts w:ascii="Times New Roman" w:hAnsi="Times New Roman" w:cs="Times New Roman"/>
                <w:sz w:val="22"/>
                <w:szCs w:val="22"/>
              </w:rPr>
              <w:t xml:space="preserve"> value, thousand soms</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Results details, feedback (if any)</w:t>
            </w:r>
          </w:p>
        </w:tc>
      </w:tr>
      <w:tr w:rsidR="00181147" w:rsidRPr="00D5509E"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5509E" w:rsidRDefault="00FA61C9" w:rsidP="00E006AB">
            <w:pPr>
              <w:spacing w:after="0"/>
              <w:jc w:val="both"/>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5509E" w:rsidRDefault="00FA61C9" w:rsidP="00E006AB">
            <w:pPr>
              <w:spacing w:after="0"/>
              <w:jc w:val="both"/>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5509E" w:rsidRDefault="00FA61C9" w:rsidP="00E006AB">
            <w:pPr>
              <w:spacing w:after="0"/>
              <w:jc w:val="both"/>
              <w:rPr>
                <w:rFonts w:ascii="Times New Roman" w:hAnsi="Times New Roman" w:cs="Times New Roman"/>
                <w:sz w:val="22"/>
                <w:szCs w:val="22"/>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5509E" w:rsidRDefault="00FA61C9" w:rsidP="00E006AB">
            <w:pPr>
              <w:spacing w:after="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5509E" w:rsidRDefault="00FA61C9" w:rsidP="00E006AB">
            <w:pPr>
              <w:spacing w:after="0"/>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5509E" w:rsidRDefault="00FA61C9" w:rsidP="00E006AB">
            <w:pPr>
              <w:spacing w:after="0"/>
              <w:jc w:val="both"/>
              <w:rPr>
                <w:rFonts w:ascii="Times New Roman" w:hAnsi="Times New Roman" w:cs="Times New Roman"/>
                <w:sz w:val="22"/>
                <w:szCs w:val="22"/>
              </w:rPr>
            </w:pPr>
          </w:p>
        </w:tc>
      </w:tr>
    </w:tbl>
    <w:p w14:paraId="0785193E" w14:textId="24BE510F"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2. Information on current and unfinished works/services for ________</w:t>
      </w:r>
      <w:r w:rsidR="00FD298E" w:rsidRPr="00D5509E">
        <w:rPr>
          <w:rFonts w:ascii="Times New Roman" w:hAnsi="Times New Roman" w:cs="Times New Roman"/>
          <w:sz w:val="22"/>
          <w:szCs w:val="22"/>
        </w:rPr>
        <w:t>_ (</w:t>
      </w:r>
      <w:r w:rsidRPr="00D5509E">
        <w:rPr>
          <w:rFonts w:ascii="Times New Roman" w:hAnsi="Times New Roman" w:cs="Times New Roman"/>
          <w:sz w:val="22"/>
          <w:szCs w:val="22"/>
        </w:rPr>
        <w:t xml:space="preserve">indicate the period requested by KGC in the procurement documentation, the presence of unfinished facilities with a volume of less than 70 percent). </w:t>
      </w:r>
    </w:p>
    <w:p w14:paraId="18261A45"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(if available, the above form is used according to paragraph 1 of this Annex, if not, indicate NO). </w:t>
      </w:r>
    </w:p>
    <w:p w14:paraId="5D6E9744" w14:textId="627646FC"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3. Qualification and experience of employees, specialists (including in the case of purchase of equipment, mechanisms with installation and installation) for the performance of the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required in the procurement documentation. Indicate labor resources (with the provision of copies of passports, diplomas, certificates, employment record books,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1692"/>
        <w:gridCol w:w="1977"/>
        <w:gridCol w:w="1414"/>
        <w:gridCol w:w="2309"/>
        <w:gridCol w:w="1616"/>
      </w:tblGrid>
      <w:tr w:rsidR="00181147" w:rsidRPr="00D5509E"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4571B27" w:rsidR="00FA61C9" w:rsidRPr="00D5509E" w:rsidRDefault="00FD298E"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Name</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Position or profession</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Education</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Availability of diplomas and certificates</w:t>
            </w:r>
          </w:p>
        </w:tc>
      </w:tr>
      <w:tr w:rsidR="00181147" w:rsidRPr="00D5509E"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5509E"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5509E"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5509E"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5509E"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5509E"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5509E" w:rsidRDefault="00FA61C9" w:rsidP="00E006AB">
            <w:pPr>
              <w:spacing w:after="0"/>
              <w:jc w:val="both"/>
              <w:rPr>
                <w:rFonts w:ascii="Times New Roman" w:hAnsi="Times New Roman" w:cs="Times New Roman"/>
                <w:sz w:val="22"/>
                <w:szCs w:val="22"/>
              </w:rPr>
            </w:pPr>
          </w:p>
        </w:tc>
      </w:tr>
    </w:tbl>
    <w:p w14:paraId="107DFAC3" w14:textId="77777777" w:rsidR="00FA61C9" w:rsidRPr="00D5509E" w:rsidRDefault="00FA61C9" w:rsidP="00E006AB">
      <w:pPr>
        <w:spacing w:after="0"/>
        <w:jc w:val="both"/>
        <w:rPr>
          <w:rFonts w:ascii="Times New Roman" w:hAnsi="Times New Roman" w:cs="Times New Roman"/>
          <w:sz w:val="22"/>
          <w:szCs w:val="22"/>
        </w:rPr>
      </w:pPr>
    </w:p>
    <w:p w14:paraId="4C09D28C"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4. Information on the availability of material and technical base, according to the procurement documentation, for the performance of work/provision of services. It is necessary to attach supporting documents (technical passports, lease agreement,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D5509E"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3033A5AC" w:rsidR="00FA61C9" w:rsidRPr="00D5509E" w:rsidRDefault="00BC116A"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Type of property (equipment, land, real estate, vehicle, etc.)</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5509E" w:rsidRDefault="00FA61C9" w:rsidP="00E006AB">
            <w:pPr>
              <w:spacing w:after="0"/>
              <w:jc w:val="both"/>
              <w:rPr>
                <w:rFonts w:ascii="Times New Roman" w:hAnsi="Times New Roman" w:cs="Times New Roman"/>
                <w:sz w:val="22"/>
                <w:szCs w:val="22"/>
                <w:lang w:val="ru-RU"/>
              </w:rPr>
            </w:pPr>
            <w:r w:rsidRPr="00D5509E">
              <w:rPr>
                <w:rFonts w:ascii="Times New Roman" w:hAnsi="Times New Roman" w:cs="Times New Roman"/>
                <w:sz w:val="22"/>
                <w:szCs w:val="22"/>
              </w:rPr>
              <w:t>Quantity, volume, size/ unit</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Right of ownership or other right of use (details of the document)</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Year of manufacture and other characteristics parameters</w:t>
            </w:r>
          </w:p>
        </w:tc>
      </w:tr>
      <w:tr w:rsidR="00181147" w:rsidRPr="00D5509E"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5509E" w:rsidRDefault="00FA61C9" w:rsidP="00E006AB">
            <w:pPr>
              <w:spacing w:after="0"/>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5509E" w:rsidRDefault="00FA61C9" w:rsidP="00E006AB">
            <w:pPr>
              <w:spacing w:after="0"/>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5509E" w:rsidRDefault="00FA61C9" w:rsidP="00E006AB">
            <w:pPr>
              <w:spacing w:after="0"/>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5509E" w:rsidRDefault="00FA61C9" w:rsidP="00E006AB">
            <w:pPr>
              <w:spacing w:after="0"/>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5509E" w:rsidRDefault="00FA61C9" w:rsidP="00E006AB">
            <w:pPr>
              <w:spacing w:after="0"/>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5509E" w:rsidRDefault="00FA61C9" w:rsidP="00E006AB">
            <w:pPr>
              <w:spacing w:after="0"/>
              <w:jc w:val="both"/>
              <w:rPr>
                <w:rFonts w:ascii="Times New Roman" w:hAnsi="Times New Roman" w:cs="Times New Roman"/>
                <w:sz w:val="22"/>
                <w:szCs w:val="22"/>
              </w:rPr>
            </w:pPr>
          </w:p>
        </w:tc>
      </w:tr>
    </w:tbl>
    <w:p w14:paraId="513CD3BB" w14:textId="69E574AC"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5. Information on the supplier</w:t>
      </w:r>
      <w:r w:rsidR="00BC116A" w:rsidRPr="00D5509E">
        <w:rPr>
          <w:rFonts w:ascii="Times New Roman" w:hAnsi="Times New Roman" w:cs="Times New Roman"/>
          <w:sz w:val="22"/>
          <w:szCs w:val="22"/>
        </w:rPr>
        <w:t>’</w:t>
      </w:r>
      <w:r w:rsidRPr="00D5509E">
        <w:rPr>
          <w:rFonts w:ascii="Times New Roman" w:hAnsi="Times New Roman" w:cs="Times New Roman"/>
          <w:sz w:val="22"/>
          <w:szCs w:val="22"/>
        </w:rPr>
        <w:t>s financial activities for _________ (indicate the period required by the procurement documentation.</w:t>
      </w:r>
    </w:p>
    <w:p w14:paraId="25939C34"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lastRenderedPageBreak/>
        <w:t>6. Presence or absence of arrears in the payment of taxes and mandatory payments to the Social Fund of the Kyrgyz Republic (if applicable).</w:t>
      </w:r>
    </w:p>
    <w:p w14:paraId="2ADC469E" w14:textId="77777777" w:rsidR="00FA61C9" w:rsidRPr="00D5509E" w:rsidRDefault="00FA61C9" w:rsidP="00E006AB">
      <w:pPr>
        <w:spacing w:after="0"/>
        <w:jc w:val="both"/>
        <w:rPr>
          <w:rFonts w:ascii="Times New Roman" w:hAnsi="Times New Roman" w:cs="Times New Roman"/>
          <w:sz w:val="22"/>
          <w:szCs w:val="22"/>
        </w:rPr>
      </w:pPr>
    </w:p>
    <w:p w14:paraId="5F8DD910" w14:textId="77777777" w:rsidR="00FA61C9" w:rsidRPr="00D5509E" w:rsidRDefault="00FA61C9" w:rsidP="00E006AB">
      <w:pPr>
        <w:spacing w:after="0"/>
        <w:jc w:val="both"/>
        <w:rPr>
          <w:rFonts w:ascii="Times New Roman" w:hAnsi="Times New Roman" w:cs="Times New Roman"/>
          <w:sz w:val="22"/>
          <w:szCs w:val="22"/>
        </w:rPr>
      </w:pPr>
      <w:r w:rsidRPr="00D5509E">
        <w:rPr>
          <w:rFonts w:ascii="Times New Roman" w:hAnsi="Times New Roman" w:cs="Times New Roman"/>
          <w:sz w:val="22"/>
          <w:szCs w:val="22"/>
        </w:rPr>
        <w:t>Supplier________________ (signature) /_______________________ / (full name, position)</w:t>
      </w:r>
    </w:p>
    <w:p w14:paraId="5FCD2775" w14:textId="77777777" w:rsidR="00FA61C9" w:rsidRPr="00D5509E" w:rsidRDefault="00FA61C9" w:rsidP="00E006AB">
      <w:pPr>
        <w:spacing w:after="0"/>
        <w:rPr>
          <w:rFonts w:ascii="Times New Roman" w:hAnsi="Times New Roman" w:cs="Times New Roman"/>
          <w:sz w:val="22"/>
          <w:szCs w:val="22"/>
        </w:rPr>
      </w:pPr>
    </w:p>
    <w:p w14:paraId="58C6159E" w14:textId="77777777" w:rsidR="00A546A8" w:rsidRPr="00D5509E" w:rsidRDefault="00A546A8" w:rsidP="00E006AB">
      <w:pPr>
        <w:pStyle w:val="120"/>
        <w:shd w:val="clear" w:color="auto" w:fill="auto"/>
        <w:spacing w:before="0" w:line="220" w:lineRule="exact"/>
        <w:rPr>
          <w:sz w:val="22"/>
          <w:szCs w:val="22"/>
        </w:rPr>
      </w:pPr>
    </w:p>
    <w:p w14:paraId="65BC463B" w14:textId="75470F3C" w:rsidR="00FA61C9" w:rsidRPr="00D5509E" w:rsidRDefault="00FA61C9" w:rsidP="00E006AB">
      <w:pPr>
        <w:spacing w:after="0"/>
        <w:rPr>
          <w:rFonts w:ascii="Times New Roman" w:hAnsi="Times New Roman" w:cs="Times New Roman"/>
          <w:sz w:val="22"/>
          <w:szCs w:val="22"/>
        </w:rPr>
      </w:pPr>
      <w:r w:rsidRPr="00D5509E">
        <w:rPr>
          <w:rFonts w:ascii="Times New Roman" w:hAnsi="Times New Roman" w:cs="Times New Roman"/>
          <w:sz w:val="22"/>
          <w:szCs w:val="22"/>
        </w:rPr>
        <w:br w:type="page"/>
      </w:r>
    </w:p>
    <w:p w14:paraId="37368075" w14:textId="4C6C8744" w:rsidR="001E04FB" w:rsidRPr="00D5509E" w:rsidRDefault="001E04FB" w:rsidP="00E006AB">
      <w:pPr>
        <w:spacing w:after="0"/>
        <w:jc w:val="right"/>
        <w:rPr>
          <w:rFonts w:ascii="Times New Roman" w:hAnsi="Times New Roman" w:cs="Times New Roman"/>
          <w:b/>
          <w:bCs/>
          <w:sz w:val="22"/>
          <w:szCs w:val="22"/>
        </w:rPr>
      </w:pPr>
      <w:r w:rsidRPr="00D5509E">
        <w:rPr>
          <w:rFonts w:ascii="Times New Roman" w:hAnsi="Times New Roman" w:cs="Times New Roman"/>
          <w:b/>
          <w:bCs/>
          <w:sz w:val="22"/>
          <w:szCs w:val="22"/>
        </w:rPr>
        <w:lastRenderedPageBreak/>
        <w:t xml:space="preserve">Appendix </w:t>
      </w:r>
      <w:r w:rsidR="00024AB9" w:rsidRPr="00D5509E">
        <w:rPr>
          <w:rFonts w:ascii="Times New Roman" w:hAnsi="Times New Roman" w:cs="Times New Roman"/>
          <w:b/>
          <w:bCs/>
          <w:sz w:val="22"/>
          <w:szCs w:val="22"/>
        </w:rPr>
        <w:t>#</w:t>
      </w:r>
      <w:r w:rsidRPr="00D5509E">
        <w:rPr>
          <w:rFonts w:ascii="Times New Roman" w:hAnsi="Times New Roman" w:cs="Times New Roman"/>
          <w:b/>
          <w:bCs/>
          <w:sz w:val="22"/>
          <w:szCs w:val="22"/>
        </w:rPr>
        <w:t>6</w:t>
      </w:r>
    </w:p>
    <w:p w14:paraId="2B3125AE" w14:textId="77777777" w:rsidR="001E04FB" w:rsidRPr="00D5509E" w:rsidRDefault="001E04FB" w:rsidP="00E006AB">
      <w:pPr>
        <w:spacing w:after="0"/>
        <w:jc w:val="right"/>
        <w:rPr>
          <w:rFonts w:ascii="Times New Roman" w:hAnsi="Times New Roman" w:cs="Times New Roman"/>
          <w:b/>
          <w:bCs/>
          <w:sz w:val="22"/>
          <w:szCs w:val="22"/>
        </w:rPr>
      </w:pPr>
    </w:p>
    <w:p w14:paraId="2E6A390E" w14:textId="2F371B49" w:rsidR="001E04FB" w:rsidRPr="00D5509E" w:rsidRDefault="001E04FB" w:rsidP="00E006AB">
      <w:pPr>
        <w:tabs>
          <w:tab w:val="left" w:pos="450"/>
        </w:tabs>
        <w:spacing w:after="0"/>
        <w:contextualSpacing/>
        <w:jc w:val="center"/>
        <w:rPr>
          <w:rFonts w:ascii="Times New Roman" w:hAnsi="Times New Roman" w:cs="Times New Roman"/>
          <w:b/>
          <w:bCs/>
          <w:sz w:val="22"/>
          <w:szCs w:val="22"/>
        </w:rPr>
      </w:pPr>
      <w:r w:rsidRPr="00D5509E">
        <w:rPr>
          <w:rFonts w:ascii="Times New Roman" w:hAnsi="Times New Roman" w:cs="Times New Roman"/>
          <w:b/>
          <w:bCs/>
          <w:sz w:val="22"/>
          <w:szCs w:val="22"/>
        </w:rPr>
        <w:t xml:space="preserve">SERVICE AGREEMENT </w:t>
      </w:r>
      <w:r w:rsidR="00024AB9" w:rsidRPr="00D5509E">
        <w:rPr>
          <w:rFonts w:ascii="Times New Roman" w:hAnsi="Times New Roman" w:cs="Times New Roman"/>
          <w:b/>
          <w:bCs/>
          <w:sz w:val="22"/>
          <w:szCs w:val="22"/>
        </w:rPr>
        <w:t>#</w:t>
      </w:r>
      <w:r w:rsidRPr="00D5509E">
        <w:rPr>
          <w:rFonts w:ascii="Times New Roman" w:hAnsi="Times New Roman" w:cs="Times New Roman"/>
          <w:b/>
          <w:bCs/>
          <w:sz w:val="22"/>
          <w:szCs w:val="22"/>
        </w:rPr>
        <w:t>KGC-P/V-</w:t>
      </w:r>
    </w:p>
    <w:p w14:paraId="3C1BABBF" w14:textId="77777777" w:rsidR="001E04FB" w:rsidRPr="00D5509E" w:rsidRDefault="001E04FB" w:rsidP="00E006AB">
      <w:pPr>
        <w:tabs>
          <w:tab w:val="left" w:pos="450"/>
        </w:tabs>
        <w:spacing w:after="0"/>
        <w:contextualSpacing/>
        <w:jc w:val="both"/>
        <w:rPr>
          <w:rFonts w:ascii="Times New Roman" w:hAnsi="Times New Roman" w:cs="Times New Roman"/>
          <w:b/>
          <w:bCs/>
          <w:sz w:val="22"/>
          <w:szCs w:val="22"/>
        </w:rPr>
      </w:pPr>
    </w:p>
    <w:p w14:paraId="0C989A2D" w14:textId="32CF84F5" w:rsidR="001E04FB" w:rsidRPr="00D5509E" w:rsidRDefault="001E04FB" w:rsidP="00E006AB">
      <w:pPr>
        <w:tabs>
          <w:tab w:val="left" w:pos="450"/>
        </w:tabs>
        <w:spacing w:after="0"/>
        <w:contextualSpacing/>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 Bishkek </w:t>
      </w:r>
      <w:r w:rsidR="00024AB9" w:rsidRPr="00D5509E">
        <w:rPr>
          <w:rFonts w:ascii="Times New Roman" w:hAnsi="Times New Roman" w:cs="Times New Roman"/>
          <w:b/>
          <w:bCs/>
          <w:sz w:val="22"/>
          <w:szCs w:val="22"/>
        </w:rPr>
        <w:t>“</w:t>
      </w:r>
      <w:r w:rsidRPr="00D5509E">
        <w:rPr>
          <w:rFonts w:ascii="Times New Roman" w:hAnsi="Times New Roman" w:cs="Times New Roman"/>
          <w:b/>
          <w:bCs/>
          <w:sz w:val="22"/>
          <w:szCs w:val="22"/>
        </w:rPr>
        <w:t>____</w:t>
      </w:r>
      <w:r w:rsidR="00024AB9" w:rsidRPr="00D5509E">
        <w:rPr>
          <w:rFonts w:ascii="Times New Roman" w:hAnsi="Times New Roman" w:cs="Times New Roman"/>
          <w:b/>
          <w:bCs/>
          <w:sz w:val="22"/>
          <w:szCs w:val="22"/>
        </w:rPr>
        <w:t>”</w:t>
      </w:r>
      <w:r w:rsidRPr="00D5509E">
        <w:rPr>
          <w:rFonts w:ascii="Times New Roman" w:hAnsi="Times New Roman" w:cs="Times New Roman"/>
          <w:b/>
          <w:bCs/>
          <w:sz w:val="22"/>
          <w:szCs w:val="22"/>
        </w:rPr>
        <w:t xml:space="preserve"> _____________ 2026</w:t>
      </w:r>
    </w:p>
    <w:p w14:paraId="555F7761" w14:textId="77777777" w:rsidR="001E04FB" w:rsidRPr="00D5509E" w:rsidRDefault="001E04FB" w:rsidP="00E006AB">
      <w:pPr>
        <w:tabs>
          <w:tab w:val="left" w:pos="450"/>
        </w:tabs>
        <w:spacing w:after="0"/>
        <w:contextualSpacing/>
        <w:jc w:val="both"/>
        <w:rPr>
          <w:rFonts w:ascii="Times New Roman" w:hAnsi="Times New Roman" w:cs="Times New Roman"/>
          <w:b/>
          <w:bCs/>
          <w:sz w:val="22"/>
          <w:szCs w:val="22"/>
        </w:rPr>
      </w:pPr>
    </w:p>
    <w:p w14:paraId="4A73A592" w14:textId="076AA194" w:rsidR="001E04FB" w:rsidRPr="00D5509E" w:rsidRDefault="001E04FB" w:rsidP="00E006AB">
      <w:pPr>
        <w:tabs>
          <w:tab w:val="left" w:pos="450"/>
        </w:tabs>
        <w:spacing w:after="0"/>
        <w:contextualSpacing/>
        <w:jc w:val="both"/>
        <w:rPr>
          <w:rFonts w:ascii="Times New Roman" w:hAnsi="Times New Roman" w:cs="Times New Roman"/>
          <w:sz w:val="22"/>
          <w:szCs w:val="22"/>
        </w:rPr>
      </w:pPr>
      <w:r w:rsidRPr="00D5509E">
        <w:rPr>
          <w:rFonts w:ascii="Times New Roman" w:hAnsi="Times New Roman" w:cs="Times New Roman"/>
          <w:b/>
          <w:bCs/>
          <w:sz w:val="22"/>
          <w:szCs w:val="22"/>
        </w:rPr>
        <w:t>Kumtor Gold Company CJSC</w:t>
      </w:r>
      <w:r w:rsidRPr="00D5509E">
        <w:rPr>
          <w:rFonts w:ascii="Times New Roman" w:hAnsi="Times New Roman" w:cs="Times New Roman"/>
          <w:sz w:val="22"/>
          <w:szCs w:val="22"/>
        </w:rPr>
        <w:t xml:space="preserve">, hereinafter referred to as the </w:t>
      </w:r>
      <w:r w:rsidR="00024AB9" w:rsidRPr="00D5509E">
        <w:rPr>
          <w:rFonts w:ascii="Times New Roman" w:hAnsi="Times New Roman" w:cs="Times New Roman"/>
          <w:sz w:val="22"/>
          <w:szCs w:val="22"/>
        </w:rPr>
        <w:t>“</w:t>
      </w:r>
      <w:r w:rsidRPr="00D5509E">
        <w:rPr>
          <w:rFonts w:ascii="Times New Roman" w:hAnsi="Times New Roman" w:cs="Times New Roman"/>
          <w:b/>
          <w:sz w:val="22"/>
          <w:szCs w:val="22"/>
        </w:rPr>
        <w:t>Customer</w:t>
      </w:r>
      <w:r w:rsidR="00204432" w:rsidRPr="00D5509E">
        <w:rPr>
          <w:rFonts w:ascii="Times New Roman" w:hAnsi="Times New Roman" w:cs="Times New Roman"/>
          <w:sz w:val="22"/>
          <w:szCs w:val="22"/>
        </w:rPr>
        <w:t>,”</w:t>
      </w:r>
      <w:r w:rsidRPr="00D5509E">
        <w:rPr>
          <w:rFonts w:ascii="Times New Roman" w:hAnsi="Times New Roman" w:cs="Times New Roman"/>
          <w:sz w:val="22"/>
          <w:szCs w:val="22"/>
        </w:rPr>
        <w:t xml:space="preserve"> represented by the full name, position acting </w:t>
      </w:r>
      <w:r w:rsidR="00D504C5" w:rsidRPr="00D5509E">
        <w:rPr>
          <w:rFonts w:ascii="Times New Roman" w:hAnsi="Times New Roman" w:cs="Times New Roman"/>
          <w:sz w:val="22"/>
          <w:szCs w:val="22"/>
        </w:rPr>
        <w:t>based on</w:t>
      </w:r>
      <w:r w:rsidRPr="00D5509E">
        <w:rPr>
          <w:rFonts w:ascii="Times New Roman" w:hAnsi="Times New Roman" w:cs="Times New Roman"/>
          <w:sz w:val="22"/>
          <w:szCs w:val="22"/>
        </w:rPr>
        <w:t xml:space="preserve"> ____, on the one hand, and </w:t>
      </w:r>
    </w:p>
    <w:p w14:paraId="51A3AA01" w14:textId="58BDE4D6" w:rsidR="001E04FB" w:rsidRPr="00D5509E" w:rsidRDefault="001E04FB" w:rsidP="00E006AB">
      <w:pPr>
        <w:tabs>
          <w:tab w:val="left" w:pos="450"/>
        </w:tabs>
        <w:spacing w:after="0"/>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_______ in the full name, position acting </w:t>
      </w:r>
      <w:r w:rsidR="00D504C5" w:rsidRPr="00D5509E">
        <w:rPr>
          <w:rFonts w:ascii="Times New Roman" w:hAnsi="Times New Roman" w:cs="Times New Roman"/>
          <w:sz w:val="22"/>
          <w:szCs w:val="22"/>
        </w:rPr>
        <w:t>based on</w:t>
      </w:r>
      <w:r w:rsidRPr="00D5509E">
        <w:rPr>
          <w:rFonts w:ascii="Times New Roman" w:hAnsi="Times New Roman" w:cs="Times New Roman"/>
          <w:sz w:val="22"/>
          <w:szCs w:val="22"/>
        </w:rPr>
        <w:t xml:space="preserve"> _______, on the other hand, collectively referred</w:t>
      </w:r>
      <w:r w:rsidRPr="00D5509E">
        <w:rPr>
          <w:rFonts w:ascii="Times New Roman" w:hAnsi="Times New Roman" w:cs="Times New Roman"/>
          <w:b/>
          <w:sz w:val="22"/>
          <w:szCs w:val="22"/>
        </w:rPr>
        <w:t xml:space="preserve"> to as the </w:t>
      </w:r>
      <w:r w:rsidR="00D504C5" w:rsidRPr="00D5509E">
        <w:rPr>
          <w:rFonts w:ascii="Times New Roman" w:hAnsi="Times New Roman" w:cs="Times New Roman"/>
          <w:b/>
          <w:sz w:val="22"/>
          <w:szCs w:val="22"/>
        </w:rPr>
        <w:t>“</w:t>
      </w:r>
      <w:r w:rsidRPr="00D5509E">
        <w:rPr>
          <w:rFonts w:ascii="Times New Roman" w:hAnsi="Times New Roman" w:cs="Times New Roman"/>
          <w:b/>
          <w:sz w:val="22"/>
          <w:szCs w:val="22"/>
        </w:rPr>
        <w:t>Parties</w:t>
      </w:r>
      <w:r w:rsidR="00204432" w:rsidRPr="00D5509E">
        <w:rPr>
          <w:rFonts w:ascii="Times New Roman" w:hAnsi="Times New Roman" w:cs="Times New Roman"/>
          <w:sz w:val="22"/>
          <w:szCs w:val="22"/>
        </w:rPr>
        <w:t>,”</w:t>
      </w:r>
      <w:r w:rsidRPr="00D5509E">
        <w:rPr>
          <w:rFonts w:ascii="Times New Roman" w:hAnsi="Times New Roman" w:cs="Times New Roman"/>
          <w:sz w:val="22"/>
          <w:szCs w:val="22"/>
        </w:rPr>
        <w:t xml:space="preserve"> each separately a </w:t>
      </w:r>
      <w:r w:rsidR="00D504C5" w:rsidRPr="00D5509E">
        <w:rPr>
          <w:rFonts w:ascii="Times New Roman" w:hAnsi="Times New Roman" w:cs="Times New Roman"/>
          <w:sz w:val="22"/>
          <w:szCs w:val="22"/>
        </w:rPr>
        <w:t>“</w:t>
      </w:r>
      <w:r w:rsidRPr="00D5509E">
        <w:rPr>
          <w:rFonts w:ascii="Times New Roman" w:hAnsi="Times New Roman" w:cs="Times New Roman"/>
          <w:b/>
          <w:sz w:val="22"/>
          <w:szCs w:val="22"/>
        </w:rPr>
        <w:t>Party</w:t>
      </w:r>
      <w:r w:rsidR="004A13C5" w:rsidRPr="00D5509E">
        <w:rPr>
          <w:rFonts w:ascii="Times New Roman" w:hAnsi="Times New Roman" w:cs="Times New Roman"/>
          <w:sz w:val="22"/>
          <w:szCs w:val="22"/>
        </w:rPr>
        <w:t>,”</w:t>
      </w:r>
      <w:r w:rsidRPr="00D5509E">
        <w:rPr>
          <w:rFonts w:ascii="Times New Roman" w:hAnsi="Times New Roman" w:cs="Times New Roman"/>
          <w:sz w:val="22"/>
          <w:szCs w:val="22"/>
        </w:rPr>
        <w:t xml:space="preserve"> have entered into a service agreement (hereinafter referred to as the "</w:t>
      </w:r>
      <w:r w:rsidRPr="00D5509E">
        <w:rPr>
          <w:rFonts w:ascii="Times New Roman" w:hAnsi="Times New Roman" w:cs="Times New Roman"/>
          <w:b/>
          <w:sz w:val="22"/>
          <w:szCs w:val="22"/>
        </w:rPr>
        <w:t>Agreement</w:t>
      </w:r>
      <w:r w:rsidRPr="00D5509E">
        <w:rPr>
          <w:rFonts w:ascii="Times New Roman" w:hAnsi="Times New Roman" w:cs="Times New Roman"/>
          <w:sz w:val="22"/>
          <w:szCs w:val="22"/>
        </w:rPr>
        <w:t>"), as follows:</w:t>
      </w:r>
    </w:p>
    <w:p w14:paraId="0EBDCBA6" w14:textId="77777777" w:rsidR="001E04FB" w:rsidRPr="00D5509E" w:rsidRDefault="001E04FB" w:rsidP="00E006AB">
      <w:pPr>
        <w:tabs>
          <w:tab w:val="left" w:pos="450"/>
        </w:tabs>
        <w:spacing w:after="0"/>
        <w:contextualSpacing/>
        <w:jc w:val="both"/>
        <w:rPr>
          <w:rFonts w:ascii="Times New Roman" w:hAnsi="Times New Roman" w:cs="Times New Roman"/>
          <w:sz w:val="22"/>
          <w:szCs w:val="22"/>
        </w:rPr>
      </w:pPr>
    </w:p>
    <w:p w14:paraId="223A4645" w14:textId="7777777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The Agreement consists of the following parts, each of which is an integral part of the Agreement:</w:t>
      </w:r>
    </w:p>
    <w:p w14:paraId="30A689ED" w14:textId="5C5D0F5B" w:rsidR="001E04FB" w:rsidRPr="00D5509E" w:rsidRDefault="001E04FB" w:rsidP="00E006AB">
      <w:pPr>
        <w:pStyle w:val="a7"/>
        <w:tabs>
          <w:tab w:val="left" w:pos="450"/>
        </w:tabs>
        <w:spacing w:after="0"/>
        <w:ind w:left="0"/>
        <w:jc w:val="both"/>
        <w:rPr>
          <w:rFonts w:ascii="Times New Roman" w:hAnsi="Times New Roman" w:cs="Times New Roman"/>
          <w:sz w:val="22"/>
          <w:szCs w:val="22"/>
        </w:rPr>
      </w:pPr>
      <w:r w:rsidRPr="00D5509E">
        <w:rPr>
          <w:rFonts w:ascii="Times New Roman" w:hAnsi="Times New Roman" w:cs="Times New Roman"/>
          <w:sz w:val="22"/>
          <w:szCs w:val="22"/>
        </w:rPr>
        <w:t xml:space="preserve">a) this main </w:t>
      </w:r>
      <w:r w:rsidR="00DA303D" w:rsidRPr="00D5509E">
        <w:rPr>
          <w:rFonts w:ascii="Times New Roman" w:hAnsi="Times New Roman" w:cs="Times New Roman"/>
          <w:sz w:val="22"/>
          <w:szCs w:val="22"/>
        </w:rPr>
        <w:t>agreement</w:t>
      </w:r>
      <w:r w:rsidRPr="00D5509E">
        <w:rPr>
          <w:rFonts w:ascii="Times New Roman" w:hAnsi="Times New Roman" w:cs="Times New Roman"/>
          <w:sz w:val="22"/>
          <w:szCs w:val="22"/>
        </w:rPr>
        <w:t xml:space="preserve"> (hereinafter referred to as the </w:t>
      </w:r>
      <w:r w:rsidR="00D504C5" w:rsidRPr="00D5509E">
        <w:rPr>
          <w:rFonts w:ascii="Times New Roman" w:hAnsi="Times New Roman" w:cs="Times New Roman"/>
          <w:sz w:val="22"/>
          <w:szCs w:val="22"/>
        </w:rPr>
        <w:t>“</w:t>
      </w:r>
      <w:r w:rsidRPr="00D5509E">
        <w:rPr>
          <w:rFonts w:ascii="Times New Roman" w:hAnsi="Times New Roman" w:cs="Times New Roman"/>
          <w:b/>
          <w:sz w:val="22"/>
          <w:szCs w:val="22"/>
        </w:rPr>
        <w:t>Main Agreement</w:t>
      </w:r>
      <w:r w:rsidR="00D504C5" w:rsidRPr="00D5509E">
        <w:rPr>
          <w:rFonts w:ascii="Times New Roman" w:hAnsi="Times New Roman" w:cs="Times New Roman"/>
          <w:sz w:val="22"/>
          <w:szCs w:val="22"/>
        </w:rPr>
        <w:t>”</w:t>
      </w:r>
      <w:r w:rsidR="002174C6" w:rsidRPr="00D5509E">
        <w:rPr>
          <w:rFonts w:ascii="Times New Roman" w:hAnsi="Times New Roman" w:cs="Times New Roman"/>
          <w:sz w:val="22"/>
          <w:szCs w:val="22"/>
        </w:rPr>
        <w:t>).</w:t>
      </w:r>
    </w:p>
    <w:p w14:paraId="0006202B" w14:textId="1C12DA58" w:rsidR="001E04FB" w:rsidRPr="00D5509E" w:rsidRDefault="001E04FB" w:rsidP="00E006AB">
      <w:pPr>
        <w:pStyle w:val="a7"/>
        <w:tabs>
          <w:tab w:val="left" w:pos="450"/>
        </w:tabs>
        <w:spacing w:after="0"/>
        <w:ind w:left="0"/>
        <w:jc w:val="both"/>
        <w:rPr>
          <w:rFonts w:ascii="Times New Roman" w:eastAsia="Times New Roman" w:hAnsi="Times New Roman" w:cs="Times New Roman"/>
          <w:sz w:val="22"/>
          <w:szCs w:val="22"/>
        </w:rPr>
      </w:pPr>
      <w:r w:rsidRPr="00D5509E">
        <w:rPr>
          <w:rFonts w:ascii="Times New Roman" w:hAnsi="Times New Roman" w:cs="Times New Roman"/>
          <w:sz w:val="22"/>
          <w:szCs w:val="22"/>
        </w:rPr>
        <w:t xml:space="preserve">b) </w:t>
      </w:r>
      <w:r w:rsidRPr="00D5509E">
        <w:rPr>
          <w:rFonts w:ascii="Times New Roman" w:eastAsia="Times New Roman" w:hAnsi="Times New Roman" w:cs="Times New Roman"/>
          <w:sz w:val="22"/>
          <w:szCs w:val="22"/>
        </w:rPr>
        <w:t>the general terms and conditions of the Agreement posted on the Customer</w:t>
      </w:r>
      <w:r w:rsidR="00D504C5" w:rsidRPr="00D5509E">
        <w:rPr>
          <w:rFonts w:ascii="Times New Roman" w:eastAsia="Times New Roman" w:hAnsi="Times New Roman" w:cs="Times New Roman"/>
          <w:sz w:val="22"/>
          <w:szCs w:val="22"/>
        </w:rPr>
        <w:t>’</w:t>
      </w:r>
      <w:r w:rsidRPr="00D5509E">
        <w:rPr>
          <w:rFonts w:ascii="Times New Roman" w:eastAsia="Times New Roman" w:hAnsi="Times New Roman" w:cs="Times New Roman"/>
          <w:sz w:val="22"/>
          <w:szCs w:val="22"/>
        </w:rPr>
        <w:t xml:space="preserve">s website and available for review by the Parties at the links: </w:t>
      </w:r>
      <w:hyperlink r:id="rId8" w:history="1">
        <w:r w:rsidRPr="00D5509E">
          <w:rPr>
            <w:rStyle w:val="ad"/>
            <w:rFonts w:ascii="Times New Roman" w:hAnsi="Times New Roman" w:cs="Times New Roman"/>
            <w:color w:val="auto"/>
            <w:sz w:val="22"/>
            <w:szCs w:val="22"/>
          </w:rPr>
          <w:t>General Terms</w:t>
        </w:r>
      </w:hyperlink>
      <w:r w:rsidRPr="00D5509E">
        <w:rPr>
          <w:rFonts w:ascii="Times New Roman" w:hAnsi="Times New Roman" w:cs="Times New Roman"/>
          <w:sz w:val="22"/>
          <w:szCs w:val="22"/>
        </w:rPr>
        <w:t xml:space="preserve"> and </w:t>
      </w:r>
      <w:hyperlink r:id="rId9" w:history="1">
        <w:r w:rsidRPr="00D5509E">
          <w:rPr>
            <w:rStyle w:val="ad"/>
            <w:rFonts w:ascii="Times New Roman" w:hAnsi="Times New Roman" w:cs="Times New Roman"/>
            <w:color w:val="auto"/>
            <w:sz w:val="22"/>
            <w:szCs w:val="22"/>
          </w:rPr>
          <w:t xml:space="preserve">https://www.kumtor.kg/wp-content/uploads/2020/11/general-terms_service_2020_nov.pdf </w:t>
        </w:r>
      </w:hyperlink>
      <w:r w:rsidRPr="00D5509E">
        <w:rPr>
          <w:rFonts w:ascii="Times New Roman" w:hAnsi="Times New Roman" w:cs="Times New Roman"/>
          <w:sz w:val="22"/>
          <w:szCs w:val="22"/>
        </w:rPr>
        <w:t xml:space="preserve">  </w:t>
      </w:r>
      <w:r w:rsidRPr="00D5509E">
        <w:rPr>
          <w:rFonts w:ascii="Times New Roman" w:eastAsia="Times New Roman" w:hAnsi="Times New Roman" w:cs="Times New Roman"/>
          <w:sz w:val="22"/>
          <w:szCs w:val="22"/>
        </w:rPr>
        <w:t xml:space="preserve">(hereinafter referred to as the </w:t>
      </w:r>
      <w:r w:rsidR="00D504C5" w:rsidRPr="00D5509E">
        <w:rPr>
          <w:rFonts w:ascii="Times New Roman" w:eastAsia="Times New Roman" w:hAnsi="Times New Roman" w:cs="Times New Roman"/>
          <w:sz w:val="22"/>
          <w:szCs w:val="22"/>
        </w:rPr>
        <w:t>“</w:t>
      </w:r>
      <w:r w:rsidRPr="00D5509E">
        <w:rPr>
          <w:rFonts w:ascii="Times New Roman" w:eastAsia="Times New Roman" w:hAnsi="Times New Roman" w:cs="Times New Roman"/>
          <w:b/>
          <w:bCs/>
          <w:sz w:val="22"/>
          <w:szCs w:val="22"/>
        </w:rPr>
        <w:t>General Terms</w:t>
      </w:r>
      <w:r w:rsidR="00D504C5" w:rsidRPr="00D5509E">
        <w:rPr>
          <w:rFonts w:ascii="Times New Roman" w:eastAsia="Times New Roman" w:hAnsi="Times New Roman" w:cs="Times New Roman"/>
          <w:sz w:val="22"/>
          <w:szCs w:val="22"/>
        </w:rPr>
        <w:t>”</w:t>
      </w:r>
      <w:r w:rsidRPr="00D5509E">
        <w:rPr>
          <w:rFonts w:ascii="Times New Roman" w:eastAsia="Times New Roman" w:hAnsi="Times New Roman" w:cs="Times New Roman"/>
          <w:sz w:val="22"/>
          <w:szCs w:val="22"/>
        </w:rPr>
        <w:t xml:space="preserve">); to the extent that they do not contradict the Agreement. </w:t>
      </w:r>
    </w:p>
    <w:p w14:paraId="060CC7A6" w14:textId="58B232CA" w:rsidR="001E04FB" w:rsidRPr="00D5509E" w:rsidRDefault="001E04FB" w:rsidP="00E006AB">
      <w:pPr>
        <w:tabs>
          <w:tab w:val="left" w:pos="450"/>
        </w:tabs>
        <w:spacing w:after="0"/>
        <w:contextualSpacing/>
        <w:jc w:val="both"/>
        <w:rPr>
          <w:rFonts w:ascii="Times New Roman" w:eastAsia="Calibri" w:hAnsi="Times New Roman" w:cs="Times New Roman"/>
          <w:sz w:val="22"/>
          <w:szCs w:val="22"/>
        </w:rPr>
      </w:pPr>
      <w:r w:rsidRPr="00D5509E">
        <w:rPr>
          <w:rFonts w:ascii="Times New Roman" w:eastAsia="Calibri" w:hAnsi="Times New Roman" w:cs="Times New Roman"/>
          <w:sz w:val="22"/>
          <w:szCs w:val="22"/>
        </w:rPr>
        <w:t xml:space="preserve">c) </w:t>
      </w:r>
      <w:r w:rsidR="00D504C5" w:rsidRPr="00D5509E">
        <w:rPr>
          <w:rFonts w:ascii="Times New Roman" w:eastAsia="Calibri" w:hAnsi="Times New Roman" w:cs="Times New Roman"/>
          <w:sz w:val="22"/>
          <w:szCs w:val="22"/>
        </w:rPr>
        <w:t>T</w:t>
      </w:r>
      <w:r w:rsidRPr="00D5509E">
        <w:rPr>
          <w:rFonts w:ascii="Times New Roman" w:eastAsia="Calibri" w:hAnsi="Times New Roman" w:cs="Times New Roman"/>
          <w:sz w:val="22"/>
          <w:szCs w:val="22"/>
        </w:rPr>
        <w:t xml:space="preserve">erms of </w:t>
      </w:r>
      <w:r w:rsidR="002174C6" w:rsidRPr="00D5509E">
        <w:rPr>
          <w:rFonts w:ascii="Times New Roman" w:eastAsia="Calibri" w:hAnsi="Times New Roman" w:cs="Times New Roman"/>
          <w:sz w:val="22"/>
          <w:szCs w:val="22"/>
        </w:rPr>
        <w:t>Reference.</w:t>
      </w:r>
    </w:p>
    <w:p w14:paraId="3353DD5C" w14:textId="64C4B7FE" w:rsidR="001E04FB" w:rsidRPr="00D5509E" w:rsidRDefault="001E04FB" w:rsidP="00E006AB">
      <w:pPr>
        <w:tabs>
          <w:tab w:val="left" w:pos="450"/>
        </w:tabs>
        <w:spacing w:after="0"/>
        <w:contextualSpacing/>
        <w:jc w:val="both"/>
        <w:rPr>
          <w:rFonts w:ascii="Times New Roman" w:eastAsia="Calibri" w:hAnsi="Times New Roman" w:cs="Times New Roman"/>
          <w:sz w:val="22"/>
          <w:szCs w:val="22"/>
        </w:rPr>
      </w:pPr>
      <w:r w:rsidRPr="00D5509E">
        <w:rPr>
          <w:rFonts w:ascii="Times New Roman" w:eastAsia="Calibri" w:hAnsi="Times New Roman" w:cs="Times New Roman"/>
          <w:sz w:val="22"/>
          <w:szCs w:val="22"/>
        </w:rPr>
        <w:t xml:space="preserve">d) all acts of services rendered signed by both </w:t>
      </w:r>
      <w:r w:rsidR="002174C6" w:rsidRPr="00D5509E">
        <w:rPr>
          <w:rFonts w:ascii="Times New Roman" w:eastAsia="Calibri" w:hAnsi="Times New Roman" w:cs="Times New Roman"/>
          <w:sz w:val="22"/>
          <w:szCs w:val="22"/>
        </w:rPr>
        <w:t>Parties.</w:t>
      </w:r>
    </w:p>
    <w:p w14:paraId="335FE071"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00322466" w14:textId="02C11111"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In accordance with the terms of the Agreement, the </w:t>
      </w:r>
      <w:r w:rsidR="005C6E18" w:rsidRPr="00D5509E">
        <w:rPr>
          <w:rFonts w:ascii="Times New Roman" w:hAnsi="Times New Roman" w:cs="Times New Roman"/>
          <w:sz w:val="22"/>
          <w:szCs w:val="22"/>
        </w:rPr>
        <w:t>Contrac</w:t>
      </w:r>
      <w:r w:rsidR="00DA303D" w:rsidRPr="00D5509E">
        <w:rPr>
          <w:rFonts w:ascii="Times New Roman" w:hAnsi="Times New Roman" w:cs="Times New Roman"/>
          <w:sz w:val="22"/>
          <w:szCs w:val="22"/>
        </w:rPr>
        <w:t>t</w:t>
      </w:r>
      <w:r w:rsidRPr="00D5509E">
        <w:rPr>
          <w:rFonts w:ascii="Times New Roman" w:hAnsi="Times New Roman" w:cs="Times New Roman"/>
          <w:sz w:val="22"/>
          <w:szCs w:val="22"/>
        </w:rPr>
        <w:t>or undertakes to provide the following services:</w:t>
      </w:r>
      <w:r w:rsidRPr="00D5509E">
        <w:rPr>
          <w:rFonts w:ascii="Times New Roman" w:hAnsi="Times New Roman" w:cs="Times New Roman"/>
          <w:b/>
          <w:bCs/>
          <w:sz w:val="22"/>
          <w:szCs w:val="22"/>
        </w:rPr>
        <w:t xml:space="preserve"> ________________ </w:t>
      </w:r>
      <w:r w:rsidRPr="00D5509E">
        <w:rPr>
          <w:rFonts w:ascii="Times New Roman" w:hAnsi="Times New Roman" w:cs="Times New Roman"/>
          <w:sz w:val="22"/>
          <w:szCs w:val="22"/>
        </w:rPr>
        <w:t xml:space="preserve">(collectively referred to as the </w:t>
      </w:r>
      <w:r w:rsidR="00D504C5" w:rsidRPr="00D5509E">
        <w:rPr>
          <w:rFonts w:ascii="Times New Roman" w:hAnsi="Times New Roman" w:cs="Times New Roman"/>
          <w:sz w:val="22"/>
          <w:szCs w:val="22"/>
        </w:rPr>
        <w:t>“</w:t>
      </w:r>
      <w:r w:rsidRPr="00D5509E">
        <w:rPr>
          <w:rFonts w:ascii="Times New Roman" w:hAnsi="Times New Roman" w:cs="Times New Roman"/>
          <w:b/>
          <w:sz w:val="22"/>
          <w:szCs w:val="22"/>
        </w:rPr>
        <w:t>Services</w:t>
      </w:r>
      <w:r w:rsidR="00D504C5" w:rsidRPr="00D5509E">
        <w:rPr>
          <w:rFonts w:ascii="Times New Roman" w:hAnsi="Times New Roman" w:cs="Times New Roman"/>
          <w:sz w:val="22"/>
          <w:szCs w:val="22"/>
        </w:rPr>
        <w:t>”</w:t>
      </w:r>
      <w:r w:rsidRPr="00D5509E">
        <w:rPr>
          <w:rFonts w:ascii="Times New Roman" w:hAnsi="Times New Roman" w:cs="Times New Roman"/>
          <w:sz w:val="22"/>
          <w:szCs w:val="22"/>
        </w:rPr>
        <w:t xml:space="preserve">), and the Customer undertakes to accept and pay for the Services in the manner and on the terms provided for in the Agreement. </w:t>
      </w:r>
    </w:p>
    <w:p w14:paraId="1EAB0C43"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23022A74" w14:textId="3E39F05A" w:rsidR="001E04FB" w:rsidRPr="00D5509E"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rPr>
      </w:pPr>
      <w:r w:rsidRPr="00D5509E">
        <w:rPr>
          <w:rFonts w:ascii="Times New Roman" w:eastAsia="Calibri" w:hAnsi="Times New Roman" w:cs="Times New Roman"/>
          <w:sz w:val="22"/>
          <w:szCs w:val="22"/>
        </w:rPr>
        <w:t xml:space="preserve">The cost of the Services under the Agreement is </w:t>
      </w:r>
      <w:r w:rsidRPr="00D5509E">
        <w:rPr>
          <w:rFonts w:ascii="Times New Roman" w:hAnsi="Times New Roman" w:cs="Times New Roman"/>
          <w:b/>
          <w:bCs/>
          <w:sz w:val="22"/>
          <w:szCs w:val="22"/>
        </w:rPr>
        <w:t>______________</w:t>
      </w:r>
      <w:r w:rsidRPr="00D5509E">
        <w:rPr>
          <w:rFonts w:ascii="Times New Roman" w:eastAsia="Calibri" w:hAnsi="Times New Roman" w:cs="Times New Roman"/>
          <w:b/>
          <w:bCs/>
          <w:sz w:val="22"/>
          <w:szCs w:val="22"/>
        </w:rPr>
        <w:t xml:space="preserve">, </w:t>
      </w:r>
      <w:r w:rsidRPr="00D5509E">
        <w:rPr>
          <w:rFonts w:ascii="Times New Roman" w:eastAsia="Calibri" w:hAnsi="Times New Roman" w:cs="Times New Roman"/>
          <w:sz w:val="22"/>
          <w:szCs w:val="22"/>
        </w:rPr>
        <w:t xml:space="preserve">which includes all applicable taxes and fees, as well as all expenses of the </w:t>
      </w:r>
      <w:r w:rsidR="005C6E18" w:rsidRPr="00D5509E">
        <w:rPr>
          <w:rFonts w:ascii="Times New Roman" w:hAnsi="Times New Roman" w:cs="Times New Roman"/>
          <w:sz w:val="22"/>
          <w:szCs w:val="22"/>
        </w:rPr>
        <w:t>Contrac</w:t>
      </w:r>
      <w:r w:rsidR="00DA303D" w:rsidRPr="00D5509E">
        <w:rPr>
          <w:rFonts w:ascii="Times New Roman" w:hAnsi="Times New Roman" w:cs="Times New Roman"/>
          <w:sz w:val="22"/>
          <w:szCs w:val="22"/>
        </w:rPr>
        <w:t>t</w:t>
      </w:r>
      <w:r w:rsidRPr="00D5509E">
        <w:rPr>
          <w:rFonts w:ascii="Times New Roman" w:hAnsi="Times New Roman" w:cs="Times New Roman"/>
          <w:sz w:val="22"/>
          <w:szCs w:val="22"/>
        </w:rPr>
        <w:t xml:space="preserve">or </w:t>
      </w:r>
      <w:r w:rsidRPr="00D5509E">
        <w:rPr>
          <w:rFonts w:ascii="Times New Roman" w:eastAsia="Calibri" w:hAnsi="Times New Roman" w:cs="Times New Roman"/>
          <w:sz w:val="22"/>
          <w:szCs w:val="22"/>
        </w:rPr>
        <w:t xml:space="preserve">related to the provision of services. The cost of services is fixed and is not subject to change, unless otherwise established by a written agreement of the Parties.   </w:t>
      </w:r>
    </w:p>
    <w:p w14:paraId="25236A47" w14:textId="77777777" w:rsidR="001E04FB" w:rsidRPr="00D5509E" w:rsidRDefault="001E04FB" w:rsidP="00E006AB">
      <w:pPr>
        <w:tabs>
          <w:tab w:val="left" w:pos="450"/>
        </w:tabs>
        <w:spacing w:after="0"/>
        <w:jc w:val="both"/>
        <w:rPr>
          <w:rFonts w:ascii="Times New Roman" w:eastAsia="Calibri" w:hAnsi="Times New Roman" w:cs="Times New Roman"/>
          <w:sz w:val="22"/>
          <w:szCs w:val="22"/>
        </w:rPr>
      </w:pPr>
    </w:p>
    <w:p w14:paraId="5AB0D9DE" w14:textId="0FC1F4D2"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Customer shall pay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the Cost of the Services within 10 (ten) banking days after the Parties sign the relevant act of services rendered in the manner provided for in the General Conditions.</w:t>
      </w:r>
    </w:p>
    <w:p w14:paraId="4DA2FCB4" w14:textId="77777777" w:rsidR="001E04FB" w:rsidRPr="00D5509E" w:rsidRDefault="001E04FB"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      </w:t>
      </w:r>
    </w:p>
    <w:p w14:paraId="00C5642E" w14:textId="7696C05C"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The </w:t>
      </w:r>
      <w:r w:rsidR="005C6E18" w:rsidRPr="00D5509E">
        <w:rPr>
          <w:rFonts w:ascii="Times New Roman" w:hAnsi="Times New Roman" w:cs="Times New Roman"/>
          <w:sz w:val="22"/>
          <w:szCs w:val="22"/>
        </w:rPr>
        <w:t>Contractor</w:t>
      </w:r>
      <w:r w:rsidRPr="00D5509E">
        <w:rPr>
          <w:rFonts w:ascii="Times New Roman" w:eastAsia="Times New Roman" w:hAnsi="Times New Roman" w:cs="Times New Roman"/>
          <w:sz w:val="22"/>
          <w:szCs w:val="22"/>
        </w:rPr>
        <w:t xml:space="preserve"> undertakes to comply with the safety requirements and the rules of presence at the Customer's facilities. The Customer does not bear any responsibility for violation of safety rules </w:t>
      </w:r>
      <w:r w:rsidRPr="00D5509E">
        <w:rPr>
          <w:rFonts w:ascii="Times New Roman" w:hAnsi="Times New Roman" w:cs="Times New Roman"/>
          <w:sz w:val="22"/>
          <w:szCs w:val="22"/>
        </w:rPr>
        <w:t xml:space="preserve">by the </w:t>
      </w:r>
      <w:r w:rsidR="005C6E18" w:rsidRPr="00D5509E">
        <w:rPr>
          <w:rFonts w:ascii="Times New Roman" w:hAnsi="Times New Roman" w:cs="Times New Roman"/>
          <w:sz w:val="22"/>
          <w:szCs w:val="22"/>
        </w:rPr>
        <w:t>Contractor</w:t>
      </w:r>
      <w:r w:rsidRPr="00D5509E">
        <w:rPr>
          <w:rFonts w:ascii="Times New Roman" w:eastAsia="Times New Roman" w:hAnsi="Times New Roman" w:cs="Times New Roman"/>
          <w:sz w:val="22"/>
          <w:szCs w:val="22"/>
        </w:rPr>
        <w:t xml:space="preserve"> when providing services.</w:t>
      </w:r>
    </w:p>
    <w:p w14:paraId="2FA0E392" w14:textId="77777777" w:rsidR="001E04FB" w:rsidRPr="00D5509E" w:rsidRDefault="001E04FB" w:rsidP="00E006AB">
      <w:pPr>
        <w:pStyle w:val="a7"/>
        <w:tabs>
          <w:tab w:val="left" w:pos="450"/>
        </w:tabs>
        <w:spacing w:after="0"/>
        <w:ind w:left="0"/>
        <w:rPr>
          <w:rFonts w:ascii="Times New Roman" w:hAnsi="Times New Roman" w:cs="Times New Roman"/>
          <w:sz w:val="22"/>
          <w:szCs w:val="22"/>
        </w:rPr>
      </w:pPr>
    </w:p>
    <w:p w14:paraId="4A472DFC" w14:textId="77777777" w:rsidR="001E04FB" w:rsidRPr="00D5509E"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rPr>
      </w:pPr>
      <w:r w:rsidRPr="00D5509E">
        <w:rPr>
          <w:rFonts w:ascii="Times New Roman" w:hAnsi="Times New Roman" w:cs="Times New Roman"/>
          <w:b/>
          <w:bCs/>
          <w:sz w:val="22"/>
          <w:szCs w:val="22"/>
        </w:rPr>
        <w:t xml:space="preserve">Place of provision of Services/ Allocated area for the provision of services: </w:t>
      </w:r>
    </w:p>
    <w:p w14:paraId="27BBE8A3" w14:textId="3F447535" w:rsidR="001E04FB" w:rsidRPr="00D5509E" w:rsidRDefault="00922DDB"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sz w:val="22"/>
          <w:szCs w:val="22"/>
        </w:rPr>
        <w:t>“</w:t>
      </w:r>
      <w:r w:rsidR="001E04FB" w:rsidRPr="00D5509E">
        <w:rPr>
          <w:rFonts w:ascii="Times New Roman" w:hAnsi="Times New Roman" w:cs="Times New Roman"/>
          <w:sz w:val="22"/>
          <w:szCs w:val="22"/>
        </w:rPr>
        <w:t>Allocated Service Area</w:t>
      </w:r>
      <w:r w:rsidRPr="00D5509E">
        <w:rPr>
          <w:rFonts w:ascii="Times New Roman" w:hAnsi="Times New Roman" w:cs="Times New Roman"/>
          <w:sz w:val="22"/>
          <w:szCs w:val="22"/>
        </w:rPr>
        <w:t>”</w:t>
      </w:r>
      <w:r w:rsidR="001E04FB" w:rsidRPr="00D5509E">
        <w:rPr>
          <w:rFonts w:ascii="Times New Roman" w:hAnsi="Times New Roman" w:cs="Times New Roman"/>
          <w:sz w:val="22"/>
          <w:szCs w:val="22"/>
        </w:rPr>
        <w:t xml:space="preserve"> is a site on the Customer</w:t>
      </w:r>
      <w:r w:rsidRPr="00D5509E">
        <w:rPr>
          <w:rFonts w:ascii="Times New Roman" w:hAnsi="Times New Roman" w:cs="Times New Roman"/>
          <w:sz w:val="22"/>
          <w:szCs w:val="22"/>
        </w:rPr>
        <w:t>’</w:t>
      </w:r>
      <w:r w:rsidR="001E04FB" w:rsidRPr="00D5509E">
        <w:rPr>
          <w:rFonts w:ascii="Times New Roman" w:hAnsi="Times New Roman" w:cs="Times New Roman"/>
          <w:sz w:val="22"/>
          <w:szCs w:val="22"/>
        </w:rPr>
        <w:t xml:space="preserve">s territory where the </w:t>
      </w:r>
      <w:r w:rsidR="005C6E18" w:rsidRPr="00D5509E">
        <w:rPr>
          <w:rFonts w:ascii="Times New Roman" w:hAnsi="Times New Roman" w:cs="Times New Roman"/>
          <w:sz w:val="22"/>
          <w:szCs w:val="22"/>
        </w:rPr>
        <w:t>Contractor</w:t>
      </w:r>
      <w:r w:rsidR="001E04FB" w:rsidRPr="00D5509E">
        <w:rPr>
          <w:rFonts w:ascii="Times New Roman" w:hAnsi="Times New Roman" w:cs="Times New Roman"/>
          <w:sz w:val="22"/>
          <w:szCs w:val="22"/>
        </w:rPr>
        <w:t xml:space="preserve"> provides Services under the Agreement (or is located in connection with the provision of Services under the Agreement). </w:t>
      </w:r>
      <w:r w:rsidR="005C6E18" w:rsidRPr="00D5509E">
        <w:rPr>
          <w:rFonts w:ascii="Times New Roman" w:hAnsi="Times New Roman" w:cs="Times New Roman"/>
          <w:sz w:val="22"/>
          <w:szCs w:val="22"/>
        </w:rPr>
        <w:t>Contractor</w:t>
      </w:r>
      <w:r w:rsidR="001E04FB" w:rsidRPr="00D5509E">
        <w:rPr>
          <w:rFonts w:ascii="Times New Roman" w:hAnsi="Times New Roman" w:cs="Times New Roman"/>
          <w:sz w:val="22"/>
          <w:szCs w:val="22"/>
        </w:rPr>
        <w:t xml:space="preserve"> shall be solely responsible for (i) the safe conduct of work, safe operation of equipment in the Designated Work Area, at the Kumtor mine and at any other site of the Client; (ii) for any accidents and breakdowns, environmental pollution in the Designated Area and outside it, on the territory of the Kumtor mine and on any other territory of the Customer, caused by the fault of the </w:t>
      </w:r>
      <w:r w:rsidR="005C6E18" w:rsidRPr="00D5509E">
        <w:rPr>
          <w:rFonts w:ascii="Times New Roman" w:hAnsi="Times New Roman" w:cs="Times New Roman"/>
          <w:sz w:val="22"/>
          <w:szCs w:val="22"/>
        </w:rPr>
        <w:t>Contractor</w:t>
      </w:r>
      <w:r w:rsidR="001E04FB" w:rsidRPr="00D5509E">
        <w:rPr>
          <w:rFonts w:ascii="Times New Roman" w:hAnsi="Times New Roman" w:cs="Times New Roman"/>
          <w:sz w:val="22"/>
          <w:szCs w:val="22"/>
        </w:rPr>
        <w:t>.</w:t>
      </w:r>
    </w:p>
    <w:p w14:paraId="04B2C0BC" w14:textId="5B62AD06"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b/>
          <w:bCs/>
          <w:sz w:val="22"/>
          <w:szCs w:val="22"/>
        </w:rPr>
        <w:t xml:space="preserve">Provision of equipment, </w:t>
      </w:r>
      <w:r w:rsidR="004A13C5" w:rsidRPr="00D5509E">
        <w:rPr>
          <w:rFonts w:ascii="Times New Roman" w:hAnsi="Times New Roman" w:cs="Times New Roman"/>
          <w:b/>
          <w:bCs/>
          <w:sz w:val="22"/>
          <w:szCs w:val="22"/>
        </w:rPr>
        <w:t>materials,</w:t>
      </w:r>
      <w:r w:rsidRPr="00D5509E">
        <w:rPr>
          <w:rFonts w:ascii="Times New Roman" w:hAnsi="Times New Roman" w:cs="Times New Roman"/>
          <w:b/>
          <w:bCs/>
          <w:sz w:val="22"/>
          <w:szCs w:val="22"/>
        </w:rPr>
        <w:t xml:space="preserve"> and tools:</w:t>
      </w:r>
    </w:p>
    <w:p w14:paraId="5898B174" w14:textId="09FAE53B" w:rsidR="001E04FB" w:rsidRPr="00D5509E" w:rsidRDefault="001E04FB" w:rsidP="00E006AB">
      <w:pPr>
        <w:tabs>
          <w:tab w:val="left" w:pos="450"/>
        </w:tabs>
        <w:spacing w:after="0"/>
        <w:jc w:val="both"/>
        <w:rPr>
          <w:rFonts w:ascii="Times New Roman" w:hAnsi="Times New Roman" w:cs="Times New Roman"/>
          <w:b/>
          <w:bCs/>
          <w:sz w:val="22"/>
          <w:szCs w:val="22"/>
        </w:rPr>
      </w:pPr>
      <w:r w:rsidRPr="00D5509E">
        <w:rPr>
          <w:rFonts w:ascii="Times New Roman" w:hAnsi="Times New Roman" w:cs="Times New Roman"/>
          <w:sz w:val="22"/>
          <w:szCs w:val="22"/>
        </w:rPr>
        <w:t>The services are provided by the Customer</w:t>
      </w:r>
      <w:r w:rsidR="00EE67EF" w:rsidRPr="00D5509E">
        <w:rPr>
          <w:rFonts w:ascii="Times New Roman" w:hAnsi="Times New Roman" w:cs="Times New Roman"/>
          <w:sz w:val="22"/>
          <w:szCs w:val="22"/>
        </w:rPr>
        <w:t>’</w:t>
      </w:r>
      <w:r w:rsidRPr="00D5509E">
        <w:rPr>
          <w:rFonts w:ascii="Times New Roman" w:hAnsi="Times New Roman" w:cs="Times New Roman"/>
          <w:sz w:val="22"/>
          <w:szCs w:val="22"/>
        </w:rPr>
        <w:t xml:space="preserve">s materials, equipment, machinery, </w:t>
      </w:r>
      <w:r w:rsidR="004A13C5" w:rsidRPr="00D5509E">
        <w:rPr>
          <w:rFonts w:ascii="Times New Roman" w:hAnsi="Times New Roman" w:cs="Times New Roman"/>
          <w:sz w:val="22"/>
          <w:szCs w:val="22"/>
        </w:rPr>
        <w:t>tools,</w:t>
      </w:r>
      <w:r w:rsidRPr="00D5509E">
        <w:rPr>
          <w:rFonts w:ascii="Times New Roman" w:hAnsi="Times New Roman" w:cs="Times New Roman"/>
          <w:sz w:val="22"/>
          <w:szCs w:val="22"/>
        </w:rPr>
        <w:t xml:space="preserve"> and other property, for the safety of which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is responsible. </w:t>
      </w:r>
    </w:p>
    <w:p w14:paraId="4F42CB88" w14:textId="10AD49E6"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Provision of personal protective equipment (PPE) to the </w:t>
      </w:r>
      <w:r w:rsidR="005C6E18" w:rsidRPr="00D5509E">
        <w:rPr>
          <w:rFonts w:ascii="Times New Roman" w:hAnsi="Times New Roman" w:cs="Times New Roman"/>
          <w:b/>
          <w:bCs/>
          <w:sz w:val="22"/>
          <w:szCs w:val="22"/>
        </w:rPr>
        <w:t>Contractor</w:t>
      </w:r>
      <w:r w:rsidRPr="00D5509E">
        <w:rPr>
          <w:rFonts w:ascii="Times New Roman" w:hAnsi="Times New Roman" w:cs="Times New Roman"/>
          <w:b/>
          <w:bCs/>
          <w:sz w:val="22"/>
          <w:szCs w:val="22"/>
        </w:rPr>
        <w:t xml:space="preserve"> at the Kumtor mine:</w:t>
      </w:r>
    </w:p>
    <w:p w14:paraId="5086FA65" w14:textId="638AFC1F" w:rsidR="001E04FB" w:rsidRPr="00D5509E" w:rsidRDefault="001E04FB" w:rsidP="00E006AB">
      <w:pPr>
        <w:pStyle w:val="a7"/>
        <w:tabs>
          <w:tab w:val="left" w:pos="450"/>
        </w:tabs>
        <w:spacing w:after="0"/>
        <w:ind w:left="0"/>
        <w:jc w:val="both"/>
        <w:rPr>
          <w:rFonts w:ascii="Times New Roman" w:hAnsi="Times New Roman" w:cs="Times New Roman"/>
          <w:sz w:val="22"/>
          <w:szCs w:val="22"/>
        </w:rPr>
      </w:pPr>
      <w:r w:rsidRPr="00D5509E">
        <w:rPr>
          <w:rFonts w:ascii="Times New Roman" w:hAnsi="Times New Roman" w:cs="Times New Roman"/>
          <w:sz w:val="22"/>
          <w:szCs w:val="22"/>
        </w:rPr>
        <w:t>all PPE required for the performance of work is provided (</w:t>
      </w:r>
      <w:r w:rsidRPr="00D5509E">
        <w:rPr>
          <w:rFonts w:ascii="Times New Roman" w:hAnsi="Times New Roman" w:cs="Times New Roman"/>
          <w:i/>
          <w:iCs/>
          <w:sz w:val="22"/>
          <w:szCs w:val="22"/>
        </w:rPr>
        <w:t xml:space="preserve">negotiated additionally when signing the </w:t>
      </w:r>
      <w:r w:rsidR="00DA303D" w:rsidRPr="00D5509E">
        <w:rPr>
          <w:rFonts w:ascii="Times New Roman" w:hAnsi="Times New Roman" w:cs="Times New Roman"/>
          <w:i/>
          <w:iCs/>
          <w:sz w:val="22"/>
          <w:szCs w:val="22"/>
        </w:rPr>
        <w:t>agreement</w:t>
      </w:r>
      <w:r w:rsidRPr="00D5509E">
        <w:rPr>
          <w:rFonts w:ascii="Times New Roman" w:hAnsi="Times New Roman" w:cs="Times New Roman"/>
          <w:i/>
          <w:iCs/>
          <w:sz w:val="22"/>
          <w:szCs w:val="22"/>
        </w:rPr>
        <w:t>)</w:t>
      </w:r>
      <w:r w:rsidRPr="00D5509E">
        <w:rPr>
          <w:rFonts w:ascii="Times New Roman" w:hAnsi="Times New Roman" w:cs="Times New Roman"/>
          <w:sz w:val="22"/>
          <w:szCs w:val="22"/>
        </w:rPr>
        <w:t xml:space="preserve"> for the period of the provision of the Services.</w:t>
      </w:r>
    </w:p>
    <w:p w14:paraId="6540D44C"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031D5F20" w14:textId="786C4140"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Provision of accommodation and meals to the </w:t>
      </w:r>
      <w:r w:rsidR="005C6E18" w:rsidRPr="00D5509E">
        <w:rPr>
          <w:rFonts w:ascii="Times New Roman" w:hAnsi="Times New Roman" w:cs="Times New Roman"/>
          <w:b/>
          <w:bCs/>
          <w:sz w:val="22"/>
          <w:szCs w:val="22"/>
        </w:rPr>
        <w:t>Contractor</w:t>
      </w:r>
      <w:r w:rsidRPr="00D5509E">
        <w:rPr>
          <w:rFonts w:ascii="Times New Roman" w:hAnsi="Times New Roman" w:cs="Times New Roman"/>
          <w:b/>
          <w:bCs/>
          <w:sz w:val="22"/>
          <w:szCs w:val="22"/>
        </w:rPr>
        <w:t xml:space="preserve"> at the Kumtor mine: </w:t>
      </w:r>
      <w:r w:rsidRPr="00D5509E">
        <w:rPr>
          <w:rFonts w:ascii="Times New Roman" w:hAnsi="Times New Roman" w:cs="Times New Roman"/>
          <w:sz w:val="22"/>
          <w:szCs w:val="22"/>
        </w:rPr>
        <w:t>(</w:t>
      </w:r>
      <w:r w:rsidRPr="00D5509E">
        <w:rPr>
          <w:rFonts w:ascii="Times New Roman" w:hAnsi="Times New Roman" w:cs="Times New Roman"/>
          <w:i/>
          <w:iCs/>
          <w:sz w:val="22"/>
          <w:szCs w:val="22"/>
        </w:rPr>
        <w:t xml:space="preserve">to be negotiated additionally when signing the </w:t>
      </w:r>
      <w:r w:rsidR="00DA303D" w:rsidRPr="00D5509E">
        <w:rPr>
          <w:rFonts w:ascii="Times New Roman" w:hAnsi="Times New Roman" w:cs="Times New Roman"/>
          <w:i/>
          <w:iCs/>
          <w:sz w:val="22"/>
          <w:szCs w:val="22"/>
        </w:rPr>
        <w:t>agreement</w:t>
      </w:r>
      <w:r w:rsidRPr="00D5509E">
        <w:rPr>
          <w:rFonts w:ascii="Times New Roman" w:hAnsi="Times New Roman" w:cs="Times New Roman"/>
          <w:i/>
          <w:iCs/>
          <w:sz w:val="22"/>
          <w:szCs w:val="22"/>
        </w:rPr>
        <w:t>).</w:t>
      </w:r>
    </w:p>
    <w:p w14:paraId="18D6F73D" w14:textId="77777777" w:rsidR="001E04FB" w:rsidRPr="00D5509E" w:rsidRDefault="001E04FB" w:rsidP="00E006AB">
      <w:pPr>
        <w:pStyle w:val="a7"/>
        <w:tabs>
          <w:tab w:val="left" w:pos="450"/>
        </w:tabs>
        <w:spacing w:after="0"/>
        <w:ind w:left="0"/>
        <w:jc w:val="both"/>
        <w:rPr>
          <w:rFonts w:ascii="Times New Roman" w:hAnsi="Times New Roman" w:cs="Times New Roman"/>
          <w:b/>
          <w:bCs/>
          <w:sz w:val="22"/>
          <w:szCs w:val="22"/>
        </w:rPr>
      </w:pPr>
    </w:p>
    <w:p w14:paraId="09D7A3E0" w14:textId="41F037F6"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The terms of services provided by the </w:t>
      </w:r>
      <w:r w:rsidR="005C6E18" w:rsidRPr="00D5509E">
        <w:rPr>
          <w:rFonts w:ascii="Times New Roman" w:hAnsi="Times New Roman" w:cs="Times New Roman"/>
          <w:b/>
          <w:bCs/>
          <w:sz w:val="22"/>
          <w:szCs w:val="22"/>
        </w:rPr>
        <w:t>Contractor</w:t>
      </w:r>
      <w:r w:rsidRPr="00D5509E">
        <w:rPr>
          <w:rFonts w:ascii="Times New Roman" w:hAnsi="Times New Roman" w:cs="Times New Roman"/>
          <w:b/>
          <w:bCs/>
          <w:sz w:val="22"/>
          <w:szCs w:val="22"/>
        </w:rPr>
        <w:t xml:space="preserve"> set by the Customer at the Kumtor mine: </w:t>
      </w:r>
      <w:r w:rsidRPr="00D5509E">
        <w:rPr>
          <w:rFonts w:ascii="Times New Roman" w:hAnsi="Times New Roman" w:cs="Times New Roman"/>
          <w:sz w:val="22"/>
          <w:szCs w:val="22"/>
        </w:rPr>
        <w:t>up to *** (</w:t>
      </w:r>
      <w:r w:rsidR="00D94D86" w:rsidRPr="00D5509E">
        <w:rPr>
          <w:rFonts w:ascii="Times New Roman" w:hAnsi="Times New Roman" w:cs="Times New Roman"/>
          <w:i/>
          <w:iCs/>
          <w:sz w:val="22"/>
          <w:szCs w:val="22"/>
        </w:rPr>
        <w:t xml:space="preserve">to be negotiated additionally when signing the </w:t>
      </w:r>
      <w:r w:rsidR="00DA303D" w:rsidRPr="00D5509E">
        <w:rPr>
          <w:rFonts w:ascii="Times New Roman" w:hAnsi="Times New Roman" w:cs="Times New Roman"/>
          <w:i/>
          <w:iCs/>
          <w:sz w:val="22"/>
          <w:szCs w:val="22"/>
        </w:rPr>
        <w:t>agreement</w:t>
      </w:r>
      <w:r w:rsidR="00D94D86" w:rsidRPr="00D5509E">
        <w:rPr>
          <w:rFonts w:ascii="Times New Roman" w:hAnsi="Times New Roman" w:cs="Times New Roman"/>
          <w:i/>
          <w:iCs/>
          <w:sz w:val="22"/>
          <w:szCs w:val="22"/>
        </w:rPr>
        <w:t>).</w:t>
      </w:r>
    </w:p>
    <w:p w14:paraId="30B68225" w14:textId="77777777" w:rsidR="001E04FB" w:rsidRPr="00D5509E" w:rsidRDefault="001E04FB" w:rsidP="00E006AB">
      <w:pPr>
        <w:pStyle w:val="a7"/>
        <w:tabs>
          <w:tab w:val="left" w:pos="450"/>
        </w:tabs>
        <w:spacing w:after="0"/>
        <w:ind w:left="0"/>
        <w:jc w:val="both"/>
        <w:rPr>
          <w:rFonts w:ascii="Times New Roman" w:hAnsi="Times New Roman" w:cs="Times New Roman"/>
          <w:b/>
          <w:bCs/>
          <w:sz w:val="22"/>
          <w:szCs w:val="22"/>
        </w:rPr>
      </w:pPr>
    </w:p>
    <w:p w14:paraId="64ABA100" w14:textId="0B4AF0F4"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Transportation to the Place of Service and back: </w:t>
      </w:r>
      <w:r w:rsidRPr="00D5509E">
        <w:rPr>
          <w:rFonts w:ascii="Times New Roman" w:hAnsi="Times New Roman" w:cs="Times New Roman"/>
          <w:sz w:val="22"/>
          <w:szCs w:val="22"/>
        </w:rPr>
        <w:t>(</w:t>
      </w:r>
      <w:r w:rsidRPr="00D5509E">
        <w:rPr>
          <w:rFonts w:ascii="Times New Roman" w:hAnsi="Times New Roman" w:cs="Times New Roman"/>
          <w:i/>
          <w:iCs/>
          <w:sz w:val="22"/>
          <w:szCs w:val="22"/>
        </w:rPr>
        <w:t xml:space="preserve">to be negotiated additionally when signing the </w:t>
      </w:r>
      <w:r w:rsidR="00DA303D" w:rsidRPr="00D5509E">
        <w:rPr>
          <w:rFonts w:ascii="Times New Roman" w:hAnsi="Times New Roman" w:cs="Times New Roman"/>
          <w:i/>
          <w:iCs/>
          <w:sz w:val="22"/>
          <w:szCs w:val="22"/>
        </w:rPr>
        <w:t>agreement</w:t>
      </w:r>
      <w:r w:rsidRPr="00D5509E">
        <w:rPr>
          <w:rFonts w:ascii="Times New Roman" w:hAnsi="Times New Roman" w:cs="Times New Roman"/>
          <w:i/>
          <w:iCs/>
          <w:sz w:val="22"/>
          <w:szCs w:val="22"/>
        </w:rPr>
        <w:t>).</w:t>
      </w:r>
    </w:p>
    <w:p w14:paraId="274C7BDB" w14:textId="77777777" w:rsidR="001E04FB" w:rsidRPr="00D5509E" w:rsidRDefault="001E04FB" w:rsidP="00E006AB">
      <w:pPr>
        <w:pStyle w:val="a7"/>
        <w:tabs>
          <w:tab w:val="left" w:pos="450"/>
        </w:tabs>
        <w:spacing w:after="0"/>
        <w:ind w:left="0"/>
        <w:jc w:val="both"/>
        <w:rPr>
          <w:rFonts w:ascii="Times New Roman" w:hAnsi="Times New Roman" w:cs="Times New Roman"/>
          <w:b/>
          <w:bCs/>
          <w:sz w:val="22"/>
          <w:szCs w:val="22"/>
        </w:rPr>
      </w:pPr>
    </w:p>
    <w:p w14:paraId="3C3847E4" w14:textId="7777777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The dates of ascent/descent to/from the Kumtor mine or other territory of the Customer </w:t>
      </w:r>
      <w:r w:rsidRPr="00D5509E">
        <w:rPr>
          <w:rFonts w:ascii="Times New Roman" w:hAnsi="Times New Roman" w:cs="Times New Roman"/>
          <w:sz w:val="22"/>
          <w:szCs w:val="22"/>
        </w:rPr>
        <w:t>must be agreed with the Customer in advance in writing. The day of ascent and the day of descent to/from the Kumtor mine(s) are equated in general to one day of services rendered.</w:t>
      </w:r>
    </w:p>
    <w:p w14:paraId="562ACCAB" w14:textId="77777777" w:rsidR="001E04FB" w:rsidRPr="00D5509E" w:rsidRDefault="001E04FB" w:rsidP="00E006AB">
      <w:pPr>
        <w:pStyle w:val="a7"/>
        <w:tabs>
          <w:tab w:val="left" w:pos="450"/>
        </w:tabs>
        <w:spacing w:after="0"/>
        <w:ind w:left="0"/>
        <w:rPr>
          <w:rFonts w:ascii="Times New Roman" w:hAnsi="Times New Roman" w:cs="Times New Roman"/>
          <w:b/>
          <w:bCs/>
          <w:sz w:val="22"/>
          <w:szCs w:val="22"/>
        </w:rPr>
      </w:pPr>
    </w:p>
    <w:p w14:paraId="42FAA9F7" w14:textId="11BFC50E"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b/>
          <w:bCs/>
          <w:sz w:val="22"/>
          <w:szCs w:val="22"/>
        </w:rPr>
        <w:t>Medical Admission to Work:</w:t>
      </w:r>
      <w:r w:rsidRPr="00D5509E">
        <w:rPr>
          <w:rFonts w:ascii="Times New Roman" w:hAnsi="Times New Roman" w:cs="Times New Roman"/>
          <w:sz w:val="22"/>
          <w:szCs w:val="22"/>
        </w:rPr>
        <w:t xml:space="preserve">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carry a medical certificate authorizing him to work, provide the Services and be at an altitude of 4000 m above sea level. Copies of such medical certificates, including test results, cardiograms, etc., must be handed over by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to the Customer prior to his arrival at the Kumtor Mine, otherwise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will not be allowed to work at the Kumtor Mine.</w:t>
      </w:r>
    </w:p>
    <w:p w14:paraId="25574D83" w14:textId="77777777" w:rsidR="001E04FB" w:rsidRPr="00D5509E" w:rsidRDefault="001E04FB" w:rsidP="00E006AB">
      <w:pPr>
        <w:pStyle w:val="a7"/>
        <w:tabs>
          <w:tab w:val="left" w:pos="450"/>
        </w:tabs>
        <w:spacing w:after="0"/>
        <w:ind w:left="0"/>
        <w:rPr>
          <w:rFonts w:ascii="Times New Roman" w:hAnsi="Times New Roman" w:cs="Times New Roman"/>
          <w:sz w:val="22"/>
          <w:szCs w:val="22"/>
        </w:rPr>
      </w:pPr>
    </w:p>
    <w:p w14:paraId="214559D5" w14:textId="538222EA"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b/>
          <w:bCs/>
          <w:sz w:val="22"/>
          <w:szCs w:val="22"/>
        </w:rPr>
        <w:t>Occupational health and safety in the provision of Services:</w:t>
      </w:r>
      <w:r w:rsidRPr="00D5509E">
        <w:rPr>
          <w:rFonts w:ascii="Times New Roman" w:hAnsi="Times New Roman" w:cs="Times New Roman"/>
          <w:sz w:val="22"/>
          <w:szCs w:val="22"/>
        </w:rPr>
        <w:t xml:space="preserve"> </w:t>
      </w:r>
      <w:r w:rsidR="002174C6" w:rsidRPr="00D5509E">
        <w:rPr>
          <w:rFonts w:ascii="Times New Roman" w:hAnsi="Times New Roman" w:cs="Times New Roman"/>
          <w:sz w:val="22"/>
          <w:szCs w:val="22"/>
        </w:rPr>
        <w:t xml:space="preserve">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undergo an introductory briefing on the Customer</w:t>
      </w:r>
      <w:r w:rsidR="00053B2B" w:rsidRPr="00D5509E">
        <w:rPr>
          <w:rFonts w:ascii="Times New Roman" w:hAnsi="Times New Roman" w:cs="Times New Roman"/>
          <w:sz w:val="22"/>
          <w:szCs w:val="22"/>
        </w:rPr>
        <w:t>’</w:t>
      </w:r>
      <w:r w:rsidRPr="00D5509E">
        <w:rPr>
          <w:rFonts w:ascii="Times New Roman" w:hAnsi="Times New Roman" w:cs="Times New Roman"/>
          <w:sz w:val="22"/>
          <w:szCs w:val="22"/>
        </w:rPr>
        <w:t xml:space="preserve">s program on health, </w:t>
      </w:r>
      <w:r w:rsidR="004A13C5" w:rsidRPr="00D5509E">
        <w:rPr>
          <w:rFonts w:ascii="Times New Roman" w:hAnsi="Times New Roman" w:cs="Times New Roman"/>
          <w:sz w:val="22"/>
          <w:szCs w:val="22"/>
        </w:rPr>
        <w:t>safety,</w:t>
      </w:r>
      <w:r w:rsidRPr="00D5509E">
        <w:rPr>
          <w:rFonts w:ascii="Times New Roman" w:hAnsi="Times New Roman" w:cs="Times New Roman"/>
          <w:sz w:val="22"/>
          <w:szCs w:val="22"/>
        </w:rPr>
        <w:t xml:space="preserve"> and environment, first aid training, as well as to familiarize himself with the rules of being on the territory of the Customer. Introductory briefing on labor protection, safety and environment is carried out by the Customer on its territory at its own expense and on its own.  confirming that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has completed the above training prior to the commencement of the provision of the Services.</w:t>
      </w:r>
    </w:p>
    <w:p w14:paraId="7C93FF8A"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54BF560E" w14:textId="1AC52FA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b/>
          <w:bCs/>
          <w:sz w:val="22"/>
          <w:szCs w:val="22"/>
        </w:rPr>
        <w:t>Rules for being on the Customer</w:t>
      </w:r>
      <w:r w:rsidR="00053B2B" w:rsidRPr="00D5509E">
        <w:rPr>
          <w:rFonts w:ascii="Times New Roman" w:hAnsi="Times New Roman" w:cs="Times New Roman"/>
          <w:b/>
          <w:bCs/>
          <w:sz w:val="22"/>
          <w:szCs w:val="22"/>
        </w:rPr>
        <w:t>’</w:t>
      </w:r>
      <w:r w:rsidRPr="00D5509E">
        <w:rPr>
          <w:rFonts w:ascii="Times New Roman" w:hAnsi="Times New Roman" w:cs="Times New Roman"/>
          <w:b/>
          <w:bCs/>
          <w:sz w:val="22"/>
          <w:szCs w:val="22"/>
        </w:rPr>
        <w:t>s territory:</w:t>
      </w:r>
      <w:r w:rsidRPr="00D5509E">
        <w:rPr>
          <w:rFonts w:ascii="Times New Roman" w:hAnsi="Times New Roman" w:cs="Times New Roman"/>
          <w:sz w:val="22"/>
          <w:szCs w:val="22"/>
        </w:rPr>
        <w:t xml:space="preserve">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ensure compliance with the Customer</w:t>
      </w:r>
      <w:r w:rsidR="00053B2B" w:rsidRPr="00D5509E">
        <w:rPr>
          <w:rFonts w:ascii="Times New Roman" w:hAnsi="Times New Roman" w:cs="Times New Roman"/>
          <w:sz w:val="22"/>
          <w:szCs w:val="22"/>
        </w:rPr>
        <w:t>’</w:t>
      </w:r>
      <w:r w:rsidRPr="00D5509E">
        <w:rPr>
          <w:rFonts w:ascii="Times New Roman" w:hAnsi="Times New Roman" w:cs="Times New Roman"/>
          <w:sz w:val="22"/>
          <w:szCs w:val="22"/>
        </w:rPr>
        <w:t xml:space="preserve">s requirements that the storage of alcoholic beverages, drugs, narcotic drugs and weapons, as well as their consumption and use, is prohibited in the Designated Work Area, as well as throughout the Kumtor mine and other territory of the Customer.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comply with the requirements of the legislation of the Kyrgyz Republic and the Customer</w:t>
      </w:r>
      <w:r w:rsidR="009F6EEC" w:rsidRPr="00D5509E">
        <w:rPr>
          <w:rFonts w:ascii="Times New Roman" w:hAnsi="Times New Roman" w:cs="Times New Roman"/>
          <w:sz w:val="22"/>
          <w:szCs w:val="22"/>
        </w:rPr>
        <w:t>’</w:t>
      </w:r>
      <w:r w:rsidRPr="00D5509E">
        <w:rPr>
          <w:rFonts w:ascii="Times New Roman" w:hAnsi="Times New Roman" w:cs="Times New Roman"/>
          <w:sz w:val="22"/>
          <w:szCs w:val="22"/>
        </w:rPr>
        <w:t xml:space="preserve">s requirements in terms of labor protection and </w:t>
      </w:r>
      <w:r w:rsidR="009F6EEC" w:rsidRPr="00D5509E">
        <w:rPr>
          <w:rFonts w:ascii="Times New Roman" w:hAnsi="Times New Roman" w:cs="Times New Roman"/>
          <w:sz w:val="22"/>
          <w:szCs w:val="22"/>
        </w:rPr>
        <w:t>safety and</w:t>
      </w:r>
      <w:r w:rsidRPr="00D5509E">
        <w:rPr>
          <w:rFonts w:ascii="Times New Roman" w:hAnsi="Times New Roman" w:cs="Times New Roman"/>
          <w:sz w:val="22"/>
          <w:szCs w:val="22"/>
        </w:rPr>
        <w:t xml:space="preserve"> comply with the accepted standards of conduct. </w:t>
      </w:r>
      <w:r w:rsidR="009F6EEC" w:rsidRPr="00D5509E">
        <w:rPr>
          <w:rFonts w:ascii="Times New Roman" w:hAnsi="Times New Roman" w:cs="Times New Roman"/>
          <w:sz w:val="22"/>
          <w:szCs w:val="22"/>
        </w:rPr>
        <w:t>Based on</w:t>
      </w:r>
      <w:r w:rsidRPr="00D5509E">
        <w:rPr>
          <w:rFonts w:ascii="Times New Roman" w:hAnsi="Times New Roman" w:cs="Times New Roman"/>
          <w:sz w:val="22"/>
          <w:szCs w:val="22"/>
        </w:rPr>
        <w:t xml:space="preserve"> a written notice sent by the Customer to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the latter will be immediately suspended from the provision of Services at any of the Customer</w:t>
      </w:r>
      <w:r w:rsidR="009F6EEC" w:rsidRPr="00D5509E">
        <w:rPr>
          <w:rFonts w:ascii="Times New Roman" w:hAnsi="Times New Roman" w:cs="Times New Roman"/>
          <w:sz w:val="22"/>
          <w:szCs w:val="22"/>
        </w:rPr>
        <w:t>’</w:t>
      </w:r>
      <w:r w:rsidRPr="00D5509E">
        <w:rPr>
          <w:rFonts w:ascii="Times New Roman" w:hAnsi="Times New Roman" w:cs="Times New Roman"/>
          <w:sz w:val="22"/>
          <w:szCs w:val="22"/>
        </w:rPr>
        <w:t xml:space="preserve">s facilities and the Agreement may be terminated.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maintain cleanliness and order at the Customer</w:t>
      </w:r>
      <w:r w:rsidR="009F6EEC" w:rsidRPr="00D5509E">
        <w:rPr>
          <w:rFonts w:ascii="Times New Roman" w:hAnsi="Times New Roman" w:cs="Times New Roman"/>
          <w:sz w:val="22"/>
          <w:szCs w:val="22"/>
        </w:rPr>
        <w:t>’</w:t>
      </w:r>
      <w:r w:rsidRPr="00D5509E">
        <w:rPr>
          <w:rFonts w:ascii="Times New Roman" w:hAnsi="Times New Roman" w:cs="Times New Roman"/>
          <w:sz w:val="22"/>
          <w:szCs w:val="22"/>
        </w:rPr>
        <w:t xml:space="preserve">s facilities and take all precautions to prevent environmental pollution, while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ensure the collection of garbage generated during the provision of the Services in the place determined by the Customer.</w:t>
      </w:r>
    </w:p>
    <w:p w14:paraId="4B5539EA"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lang w:val="ru-RU"/>
        </w:rPr>
      </w:pPr>
      <w:r w:rsidRPr="00D5509E">
        <w:rPr>
          <w:rFonts w:ascii="Times New Roman" w:hAnsi="Times New Roman" w:cs="Times New Roman"/>
          <w:sz w:val="22"/>
          <w:szCs w:val="22"/>
        </w:rPr>
        <w:t xml:space="preserve">Other conditions: </w:t>
      </w:r>
      <w:r w:rsidRPr="00D5509E">
        <w:rPr>
          <w:rFonts w:ascii="Times New Roman" w:hAnsi="Times New Roman" w:cs="Times New Roman"/>
          <w:b/>
          <w:bCs/>
          <w:sz w:val="22"/>
          <w:szCs w:val="22"/>
        </w:rPr>
        <w:t xml:space="preserve">not applicable. </w:t>
      </w:r>
    </w:p>
    <w:p w14:paraId="1F9BB641"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6F5F768C"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Responsible pe</w:t>
      </w:r>
      <w:r w:rsidR="00906CB4" w:rsidRPr="00D5509E">
        <w:rPr>
          <w:rFonts w:ascii="Times New Roman" w:hAnsi="Times New Roman" w:cs="Times New Roman"/>
          <w:sz w:val="22"/>
          <w:szCs w:val="22"/>
        </w:rPr>
        <w:t>ople</w:t>
      </w:r>
      <w:r w:rsidRPr="00D5509E">
        <w:rPr>
          <w:rFonts w:ascii="Times New Roman" w:hAnsi="Times New Roman" w:cs="Times New Roman"/>
          <w:sz w:val="22"/>
          <w:szCs w:val="22"/>
        </w:rPr>
        <w:t xml:space="preserve"> (as defined in the General Conditions):</w:t>
      </w:r>
    </w:p>
    <w:p w14:paraId="582CF08F" w14:textId="09809D3C" w:rsidR="001E04FB" w:rsidRPr="00D5509E" w:rsidRDefault="001E04FB" w:rsidP="00E006AB">
      <w:pPr>
        <w:tabs>
          <w:tab w:val="left" w:pos="450"/>
        </w:tabs>
        <w:spacing w:after="0"/>
        <w:jc w:val="both"/>
        <w:rPr>
          <w:rFonts w:ascii="Times New Roman" w:hAnsi="Times New Roman" w:cs="Times New Roman"/>
          <w:sz w:val="22"/>
          <w:szCs w:val="22"/>
        </w:rPr>
      </w:pPr>
      <w:r w:rsidRPr="00D5509E">
        <w:rPr>
          <w:rFonts w:ascii="Times New Roman" w:hAnsi="Times New Roman" w:cs="Times New Roman"/>
          <w:sz w:val="22"/>
          <w:szCs w:val="22"/>
        </w:rPr>
        <w:t xml:space="preserve">The </w:t>
      </w:r>
      <w:r w:rsidR="00906CB4" w:rsidRPr="00D5509E">
        <w:rPr>
          <w:rFonts w:ascii="Times New Roman" w:hAnsi="Times New Roman" w:cs="Times New Roman"/>
          <w:sz w:val="22"/>
          <w:szCs w:val="22"/>
        </w:rPr>
        <w:t xml:space="preserve">people </w:t>
      </w:r>
      <w:r w:rsidRPr="00D5509E">
        <w:rPr>
          <w:rFonts w:ascii="Times New Roman" w:hAnsi="Times New Roman" w:cs="Times New Roman"/>
          <w:sz w:val="22"/>
          <w:szCs w:val="22"/>
        </w:rPr>
        <w:t xml:space="preserve">responsible on the part of the Customer are: </w:t>
      </w:r>
    </w:p>
    <w:p w14:paraId="12A714C1" w14:textId="77777777" w:rsidR="00C92F62" w:rsidRPr="00D5509E" w:rsidRDefault="00C92F62" w:rsidP="00E006AB">
      <w:pPr>
        <w:tabs>
          <w:tab w:val="left" w:pos="450"/>
        </w:tabs>
        <w:spacing w:after="0"/>
        <w:jc w:val="both"/>
        <w:rPr>
          <w:rFonts w:ascii="Times New Roman" w:hAnsi="Times New Roman" w:cs="Times New Roman"/>
          <w:sz w:val="22"/>
          <w:szCs w:val="22"/>
        </w:rPr>
      </w:pPr>
    </w:p>
    <w:p w14:paraId="4F158F77" w14:textId="3C35471D" w:rsidR="001E04FB" w:rsidRPr="00D5509E" w:rsidRDefault="001E04FB" w:rsidP="00E006AB">
      <w:pPr>
        <w:tabs>
          <w:tab w:val="left" w:pos="450"/>
        </w:tabs>
        <w:spacing w:after="0"/>
        <w:jc w:val="both"/>
        <w:rPr>
          <w:rFonts w:ascii="Times New Roman" w:hAnsi="Times New Roman" w:cs="Times New Roman"/>
          <w:b/>
          <w:bCs/>
          <w:sz w:val="22"/>
          <w:szCs w:val="22"/>
        </w:rPr>
      </w:pPr>
      <w:r w:rsidRPr="00D5509E">
        <w:rPr>
          <w:rFonts w:ascii="Times New Roman" w:hAnsi="Times New Roman" w:cs="Times New Roman"/>
          <w:b/>
          <w:bCs/>
          <w:sz w:val="22"/>
          <w:szCs w:val="22"/>
        </w:rPr>
        <w:t xml:space="preserve">The head(s) of the department that engages the </w:t>
      </w:r>
      <w:r w:rsidR="005C6E18" w:rsidRPr="00D5509E">
        <w:rPr>
          <w:rFonts w:ascii="Times New Roman" w:hAnsi="Times New Roman" w:cs="Times New Roman"/>
          <w:b/>
          <w:bCs/>
          <w:sz w:val="22"/>
          <w:szCs w:val="22"/>
        </w:rPr>
        <w:t>Contractor</w:t>
      </w:r>
      <w:r w:rsidRPr="00D5509E">
        <w:rPr>
          <w:rFonts w:ascii="Times New Roman" w:hAnsi="Times New Roman" w:cs="Times New Roman"/>
          <w:b/>
          <w:bCs/>
          <w:sz w:val="22"/>
          <w:szCs w:val="22"/>
        </w:rPr>
        <w:t xml:space="preserve">. </w:t>
      </w:r>
    </w:p>
    <w:p w14:paraId="092DA931"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37C071ED" w14:textId="0BACD3D3"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Special terms of the Agreement: </w:t>
      </w:r>
      <w:r w:rsidR="006F416C" w:rsidRPr="00D5509E">
        <w:rPr>
          <w:rFonts w:ascii="Times New Roman" w:hAnsi="Times New Roman" w:cs="Times New Roman"/>
          <w:sz w:val="22"/>
          <w:szCs w:val="22"/>
        </w:rPr>
        <w:t>n</w:t>
      </w:r>
      <w:r w:rsidRPr="00D5509E">
        <w:rPr>
          <w:rFonts w:ascii="Times New Roman" w:hAnsi="Times New Roman" w:cs="Times New Roman"/>
          <w:sz w:val="22"/>
          <w:szCs w:val="22"/>
        </w:rPr>
        <w:t>otwithstanding</w:t>
      </w:r>
      <w:r w:rsidRPr="00D5509E">
        <w:rPr>
          <w:rFonts w:ascii="Times New Roman" w:eastAsia="Times New Roman" w:hAnsi="Times New Roman" w:cs="Times New Roman"/>
          <w:sz w:val="22"/>
          <w:szCs w:val="22"/>
          <w:lang w:eastAsia="zh-CN"/>
        </w:rPr>
        <w:t xml:space="preserve"> the provisions of the Agreement, the Parties have </w:t>
      </w:r>
      <w:r w:rsidRPr="00D5509E">
        <w:rPr>
          <w:rFonts w:ascii="Times New Roman" w:hAnsi="Times New Roman" w:cs="Times New Roman"/>
          <w:sz w:val="22"/>
          <w:szCs w:val="22"/>
        </w:rPr>
        <w:t>agreed</w:t>
      </w:r>
      <w:r w:rsidRPr="00D5509E">
        <w:rPr>
          <w:rFonts w:ascii="Times New Roman" w:eastAsia="Times New Roman" w:hAnsi="Times New Roman" w:cs="Times New Roman"/>
          <w:sz w:val="22"/>
          <w:szCs w:val="22"/>
          <w:lang w:eastAsia="zh-CN"/>
        </w:rPr>
        <w:t xml:space="preserve"> to the following </w:t>
      </w:r>
      <w:r w:rsidRPr="00D5509E">
        <w:rPr>
          <w:rFonts w:ascii="Times New Roman" w:hAnsi="Times New Roman" w:cs="Times New Roman"/>
          <w:sz w:val="22"/>
          <w:szCs w:val="22"/>
        </w:rPr>
        <w:t xml:space="preserve">specific </w:t>
      </w:r>
      <w:r w:rsidRPr="00D5509E">
        <w:rPr>
          <w:rFonts w:ascii="Times New Roman" w:eastAsia="Times New Roman" w:hAnsi="Times New Roman" w:cs="Times New Roman"/>
          <w:sz w:val="22"/>
          <w:szCs w:val="22"/>
          <w:lang w:eastAsia="zh-CN"/>
        </w:rPr>
        <w:t>conditions</w:t>
      </w:r>
      <w:r w:rsidRPr="00D5509E">
        <w:rPr>
          <w:rFonts w:ascii="Times New Roman" w:hAnsi="Times New Roman" w:cs="Times New Roman"/>
          <w:sz w:val="22"/>
          <w:szCs w:val="22"/>
        </w:rPr>
        <w:t xml:space="preserve">: </w:t>
      </w:r>
      <w:r w:rsidRPr="00D5509E">
        <w:rPr>
          <w:rFonts w:ascii="Times New Roman" w:hAnsi="Times New Roman" w:cs="Times New Roman"/>
          <w:b/>
          <w:bCs/>
          <w:sz w:val="22"/>
          <w:szCs w:val="22"/>
        </w:rPr>
        <w:t>not applicable.</w:t>
      </w:r>
    </w:p>
    <w:p w14:paraId="6CDF629E"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r w:rsidRPr="00D5509E">
        <w:rPr>
          <w:rFonts w:ascii="Times New Roman" w:hAnsi="Times New Roman" w:cs="Times New Roman"/>
          <w:sz w:val="22"/>
          <w:szCs w:val="22"/>
        </w:rPr>
        <w:t>In the event of a discrepancy between other terms of the Agreement and the special conditions set forth in this clause, the provisions of the special conditions shall prevail.</w:t>
      </w:r>
    </w:p>
    <w:p w14:paraId="50D73937"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6BBAC985" w14:textId="7C7D1EE3"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lastRenderedPageBreak/>
        <w:t xml:space="preserve">First aid training by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w:t>
      </w:r>
      <w:r w:rsidR="006F416C" w:rsidRPr="00D5509E">
        <w:rPr>
          <w:rFonts w:ascii="Times New Roman" w:hAnsi="Times New Roman" w:cs="Times New Roman"/>
          <w:sz w:val="22"/>
          <w:szCs w:val="22"/>
        </w:rPr>
        <w:t>t</w:t>
      </w:r>
      <w:r w:rsidRPr="00D5509E">
        <w:rPr>
          <w:rFonts w:ascii="Times New Roman" w:hAnsi="Times New Roman" w:cs="Times New Roman"/>
          <w:sz w:val="22"/>
          <w:szCs w:val="22"/>
        </w:rPr>
        <w:t xml:space="preserve">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undertakes to undergo first aid training. This training is carried out by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independently and at its own expense, while the Customer has the right to give its recommendations regarding the most acceptable and qualified organizations, the services of which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should use to conduct first aid training.</w:t>
      </w:r>
    </w:p>
    <w:p w14:paraId="77D1EBA6" w14:textId="7777777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Notwithstanding the provisions of the General Terms and Conditions, the Parties have agreed that all disputes and disagreements arising between the Parties shall be settled through negotiations between the Parties in good faith. The preliminary (pre-trial) procedure for resolving any dispute between the Parties is mandatory. </w:t>
      </w:r>
    </w:p>
    <w:p w14:paraId="4B4A34B8" w14:textId="71327C4F"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If the Parties have not reached an agreement in the course of negotiations, all disputes and disagreements arising between the Parties under the Agreement or arising from it, and relating to its conclusion, amendment or invalidation, shall be resolved in the courts of the Kyrgyz Republic at the location (legal address) of the Customer (</w:t>
      </w:r>
      <w:r w:rsidR="00DA303D" w:rsidRPr="00D5509E">
        <w:rPr>
          <w:rFonts w:ascii="Times New Roman" w:hAnsi="Times New Roman" w:cs="Times New Roman"/>
          <w:sz w:val="22"/>
          <w:szCs w:val="22"/>
        </w:rPr>
        <w:t>agree</w:t>
      </w:r>
      <w:r w:rsidR="00782671" w:rsidRPr="00D5509E">
        <w:rPr>
          <w:rFonts w:ascii="Times New Roman" w:hAnsi="Times New Roman" w:cs="Times New Roman"/>
          <w:sz w:val="22"/>
          <w:szCs w:val="22"/>
        </w:rPr>
        <w:t>d</w:t>
      </w:r>
      <w:r w:rsidRPr="00D5509E">
        <w:rPr>
          <w:rFonts w:ascii="Times New Roman" w:hAnsi="Times New Roman" w:cs="Times New Roman"/>
          <w:sz w:val="22"/>
          <w:szCs w:val="22"/>
        </w:rPr>
        <w:t xml:space="preserve"> jurisdiction) in accordance with the legislation of the Kyrgyz Republic. Unless otherwise expressly provided for by the </w:t>
      </w:r>
      <w:r w:rsidR="002174C6" w:rsidRPr="00D5509E">
        <w:rPr>
          <w:rFonts w:ascii="Times New Roman" w:hAnsi="Times New Roman" w:cs="Times New Roman"/>
          <w:sz w:val="22"/>
          <w:szCs w:val="22"/>
        </w:rPr>
        <w:t>Agreement, the</w:t>
      </w:r>
      <w:r w:rsidRPr="00D5509E">
        <w:rPr>
          <w:rFonts w:ascii="Times New Roman" w:hAnsi="Times New Roman" w:cs="Times New Roman"/>
          <w:sz w:val="22"/>
          <w:szCs w:val="22"/>
        </w:rPr>
        <w:t xml:space="preserve"> existence of any dispute, including the consideration of such a dispute in court, does not give the </w:t>
      </w:r>
      <w:r w:rsidR="005C6E18" w:rsidRPr="00D5509E">
        <w:rPr>
          <w:rFonts w:ascii="Times New Roman" w:hAnsi="Times New Roman" w:cs="Times New Roman"/>
          <w:sz w:val="22"/>
          <w:szCs w:val="22"/>
        </w:rPr>
        <w:t>Contractor</w:t>
      </w:r>
      <w:r w:rsidRPr="00D5509E">
        <w:rPr>
          <w:rFonts w:ascii="Times New Roman" w:hAnsi="Times New Roman" w:cs="Times New Roman"/>
          <w:sz w:val="22"/>
          <w:szCs w:val="22"/>
        </w:rPr>
        <w:t xml:space="preserve"> the right to suspend the performance of its obligations under the Agreement</w:t>
      </w:r>
      <w:r w:rsidRPr="00D5509E">
        <w:rPr>
          <w:rFonts w:ascii="Times New Roman" w:eastAsia="Calibri" w:hAnsi="Times New Roman" w:cs="Times New Roman"/>
          <w:sz w:val="22"/>
          <w:szCs w:val="22"/>
        </w:rPr>
        <w:t>.</w:t>
      </w:r>
    </w:p>
    <w:p w14:paraId="78D54298" w14:textId="77777777" w:rsidR="001E04FB" w:rsidRPr="00D5509E" w:rsidRDefault="001E04FB" w:rsidP="00E006AB">
      <w:pPr>
        <w:tabs>
          <w:tab w:val="left" w:pos="450"/>
        </w:tabs>
        <w:spacing w:after="0"/>
        <w:contextualSpacing/>
        <w:jc w:val="both"/>
        <w:rPr>
          <w:rFonts w:ascii="Times New Roman" w:eastAsia="Calibri" w:hAnsi="Times New Roman" w:cs="Times New Roman"/>
          <w:sz w:val="22"/>
          <w:szCs w:val="22"/>
        </w:rPr>
      </w:pPr>
    </w:p>
    <w:p w14:paraId="2868B390" w14:textId="7777777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Neither Party may transfer its rights and obligations under this Agreement to a third party without the written consent of the other Party.</w:t>
      </w:r>
    </w:p>
    <w:p w14:paraId="53BD55FB" w14:textId="77777777" w:rsidR="001E04FB" w:rsidRPr="00D5509E" w:rsidRDefault="001E04FB" w:rsidP="00E006AB">
      <w:pPr>
        <w:pStyle w:val="a7"/>
        <w:tabs>
          <w:tab w:val="left" w:pos="450"/>
        </w:tabs>
        <w:spacing w:after="0"/>
        <w:ind w:left="0"/>
        <w:rPr>
          <w:rFonts w:ascii="Times New Roman" w:eastAsia="Calibri" w:hAnsi="Times New Roman" w:cs="Times New Roman"/>
          <w:sz w:val="22"/>
          <w:szCs w:val="22"/>
        </w:rPr>
      </w:pPr>
    </w:p>
    <w:p w14:paraId="219860A4" w14:textId="472C3DE5" w:rsidR="001E04FB" w:rsidRPr="00D5509E"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rPr>
      </w:pPr>
      <w:r w:rsidRPr="00D5509E">
        <w:rPr>
          <w:rFonts w:ascii="Times New Roman" w:eastAsia="Calibri" w:hAnsi="Times New Roman" w:cs="Times New Roman"/>
          <w:sz w:val="22"/>
          <w:szCs w:val="22"/>
        </w:rPr>
        <w:t xml:space="preserve">Any intellectual property rights related to the intellectual property products owned by the Customer during the execution of this Agreement and further products/designs/ideas/method, databases, </w:t>
      </w:r>
      <w:r w:rsidR="004A13C5" w:rsidRPr="00D5509E">
        <w:rPr>
          <w:rFonts w:ascii="Times New Roman" w:eastAsia="Calibri" w:hAnsi="Times New Roman" w:cs="Times New Roman"/>
          <w:sz w:val="22"/>
          <w:szCs w:val="22"/>
        </w:rPr>
        <w:t>archives,</w:t>
      </w:r>
      <w:r w:rsidRPr="00D5509E">
        <w:rPr>
          <w:rFonts w:ascii="Times New Roman" w:eastAsia="Calibri" w:hAnsi="Times New Roman" w:cs="Times New Roman"/>
          <w:sz w:val="22"/>
          <w:szCs w:val="22"/>
        </w:rPr>
        <w:t xml:space="preserve"> and other similar results related to the Services belong exclusively to the Customer in accordance with international and Kyrgyz laws on intellectual property. The customer has the right to individually use and dispose of such products/design/method, etc., at his own discretion in accordance with their purpose. The </w:t>
      </w:r>
      <w:r w:rsidR="005C6E18" w:rsidRPr="00D5509E">
        <w:rPr>
          <w:rFonts w:ascii="Times New Roman" w:eastAsia="Calibri" w:hAnsi="Times New Roman" w:cs="Times New Roman"/>
          <w:sz w:val="22"/>
          <w:szCs w:val="22"/>
        </w:rPr>
        <w:t>Contractor</w:t>
      </w:r>
      <w:r w:rsidRPr="00D5509E">
        <w:rPr>
          <w:rFonts w:ascii="Times New Roman" w:eastAsia="Calibri" w:hAnsi="Times New Roman" w:cs="Times New Roman"/>
          <w:sz w:val="22"/>
          <w:szCs w:val="22"/>
        </w:rPr>
        <w:t xml:space="preserve"> agrees that he has no right to use or create situations as a result of which other persons can use such products/design/ideas/method, etc., without the prior consent of the Customer.</w:t>
      </w:r>
    </w:p>
    <w:p w14:paraId="6DC040FA" w14:textId="77777777" w:rsidR="001E04FB" w:rsidRPr="00D5509E" w:rsidRDefault="001E04FB" w:rsidP="00E006AB">
      <w:pPr>
        <w:pStyle w:val="a7"/>
        <w:tabs>
          <w:tab w:val="left" w:pos="450"/>
        </w:tabs>
        <w:spacing w:after="0"/>
        <w:ind w:left="0"/>
        <w:jc w:val="both"/>
        <w:rPr>
          <w:rFonts w:ascii="Times New Roman" w:hAnsi="Times New Roman" w:cs="Times New Roman"/>
          <w:sz w:val="22"/>
          <w:szCs w:val="22"/>
        </w:rPr>
      </w:pPr>
    </w:p>
    <w:p w14:paraId="0389A904" w14:textId="5B5F060E"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 xml:space="preserve">Each Party hereby acknowledges receipt of its copy of the Agreement and that it has read the contents of the Agreement in its entirety, including the General Conditions, and agrees to and accepts all the terms and conditions contained therein. The General Terms and Conditions of the Agreement are drawn up in English and Russian; both texts have equal legal force, and in case of discrepancies between the English and Russian texts of the General </w:t>
      </w:r>
      <w:r w:rsidR="00B47FE3" w:rsidRPr="00D5509E">
        <w:rPr>
          <w:rFonts w:ascii="Times New Roman" w:hAnsi="Times New Roman" w:cs="Times New Roman"/>
          <w:sz w:val="22"/>
          <w:szCs w:val="22"/>
        </w:rPr>
        <w:t>Term</w:t>
      </w:r>
      <w:r w:rsidRPr="00D5509E">
        <w:rPr>
          <w:rFonts w:ascii="Times New Roman" w:hAnsi="Times New Roman" w:cs="Times New Roman"/>
          <w:sz w:val="22"/>
          <w:szCs w:val="22"/>
        </w:rPr>
        <w:t>s, the Russian text shall prevail.</w:t>
      </w:r>
    </w:p>
    <w:p w14:paraId="5325AB09" w14:textId="77777777" w:rsidR="001E04FB" w:rsidRPr="00D5509E" w:rsidRDefault="001E04FB" w:rsidP="00E006AB">
      <w:pPr>
        <w:pStyle w:val="a7"/>
        <w:tabs>
          <w:tab w:val="left" w:pos="450"/>
          <w:tab w:val="left" w:pos="8290"/>
        </w:tabs>
        <w:spacing w:after="0"/>
        <w:ind w:left="0"/>
        <w:rPr>
          <w:rFonts w:ascii="Times New Roman" w:hAnsi="Times New Roman" w:cs="Times New Roman"/>
          <w:sz w:val="22"/>
          <w:szCs w:val="22"/>
        </w:rPr>
      </w:pPr>
      <w:r w:rsidRPr="00D5509E">
        <w:rPr>
          <w:rFonts w:ascii="Times New Roman" w:hAnsi="Times New Roman" w:cs="Times New Roman"/>
          <w:sz w:val="22"/>
          <w:szCs w:val="22"/>
        </w:rPr>
        <w:tab/>
      </w:r>
    </w:p>
    <w:p w14:paraId="671F5507" w14:textId="77777777" w:rsidR="001E04FB" w:rsidRPr="00D5509E"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hAnsi="Times New Roman" w:cs="Times New Roman"/>
          <w:sz w:val="22"/>
          <w:szCs w:val="22"/>
        </w:rPr>
        <w:t>The Agreement enters into force from the moment it is signed by both Parties and is valid until ________________, and in terms of mutual settlements – until the Parties fully fulfill their obligations.</w:t>
      </w:r>
    </w:p>
    <w:p w14:paraId="380DE8CD" w14:textId="77777777" w:rsidR="001E04FB" w:rsidRPr="00D5509E" w:rsidRDefault="001E04FB" w:rsidP="00E006AB">
      <w:pPr>
        <w:pStyle w:val="a7"/>
        <w:tabs>
          <w:tab w:val="left" w:pos="450"/>
        </w:tabs>
        <w:spacing w:after="0"/>
        <w:ind w:left="0"/>
        <w:rPr>
          <w:rFonts w:ascii="Times New Roman" w:hAnsi="Times New Roman" w:cs="Times New Roman"/>
          <w:sz w:val="22"/>
          <w:szCs w:val="22"/>
        </w:rPr>
      </w:pPr>
    </w:p>
    <w:p w14:paraId="1BA23BE6" w14:textId="088E6372" w:rsidR="001E04FB" w:rsidRPr="00D5509E" w:rsidRDefault="001E04FB" w:rsidP="00E006A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D5509E">
        <w:rPr>
          <w:rFonts w:ascii="Times New Roman" w:eastAsia="Calibri" w:hAnsi="Times New Roman" w:cs="Times New Roman"/>
          <w:sz w:val="22"/>
          <w:szCs w:val="22"/>
        </w:rPr>
        <w:t>Addresses, bank details, signatures of the Parties:</w:t>
      </w: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D5509E" w14:paraId="0F4B26C1" w14:textId="77777777" w:rsidTr="001E04FB">
        <w:tc>
          <w:tcPr>
            <w:tcW w:w="5515" w:type="dxa"/>
          </w:tcPr>
          <w:p w14:paraId="4EC494D7" w14:textId="77777777" w:rsidR="001E04FB" w:rsidRPr="00D5509E" w:rsidRDefault="001E04FB" w:rsidP="00E006AB">
            <w:pPr>
              <w:pStyle w:val="a7"/>
              <w:ind w:left="0"/>
              <w:jc w:val="both"/>
              <w:rPr>
                <w:rFonts w:ascii="Times New Roman" w:hAnsi="Times New Roman" w:cs="Times New Roman"/>
                <w:b/>
                <w:bCs/>
                <w:lang w:val="ru-RU"/>
              </w:rPr>
            </w:pPr>
            <w:r w:rsidRPr="00D5509E">
              <w:rPr>
                <w:rFonts w:ascii="Times New Roman" w:hAnsi="Times New Roman" w:cs="Times New Roman"/>
                <w:b/>
              </w:rPr>
              <w:t>Client:</w:t>
            </w:r>
          </w:p>
        </w:tc>
        <w:tc>
          <w:tcPr>
            <w:tcW w:w="4740" w:type="dxa"/>
          </w:tcPr>
          <w:p w14:paraId="668ECC94" w14:textId="77777777" w:rsidR="001E04FB" w:rsidRPr="00D5509E" w:rsidRDefault="001E04FB" w:rsidP="00E006AB">
            <w:pPr>
              <w:pStyle w:val="af"/>
              <w:spacing w:before="0" w:beforeAutospacing="0" w:after="0" w:afterAutospacing="0"/>
              <w:contextualSpacing/>
              <w:rPr>
                <w:b/>
                <w:bCs/>
                <w:lang w:val="ru-RU"/>
              </w:rPr>
            </w:pPr>
            <w:r w:rsidRPr="00D5509E">
              <w:rPr>
                <w:b/>
              </w:rPr>
              <w:t>Executor:</w:t>
            </w:r>
          </w:p>
        </w:tc>
      </w:tr>
      <w:tr w:rsidR="00181147" w:rsidRPr="00D5509E" w14:paraId="5ABBDA85" w14:textId="77777777" w:rsidTr="001E04FB">
        <w:tc>
          <w:tcPr>
            <w:tcW w:w="5515" w:type="dxa"/>
          </w:tcPr>
          <w:p w14:paraId="511A7D8C" w14:textId="77777777" w:rsidR="001E04FB" w:rsidRPr="00D5509E" w:rsidRDefault="001E04FB" w:rsidP="00E006AB">
            <w:pPr>
              <w:pStyle w:val="a7"/>
              <w:ind w:left="0"/>
              <w:jc w:val="both"/>
              <w:rPr>
                <w:rFonts w:ascii="Times New Roman" w:hAnsi="Times New Roman" w:cs="Times New Roman"/>
                <w:b/>
                <w:bCs/>
              </w:rPr>
            </w:pPr>
            <w:r w:rsidRPr="00D5509E">
              <w:rPr>
                <w:rFonts w:ascii="Times New Roman" w:hAnsi="Times New Roman" w:cs="Times New Roman"/>
                <w:b/>
                <w:bCs/>
              </w:rPr>
              <w:t>Kumtor Gold Company CJSC</w:t>
            </w:r>
          </w:p>
          <w:p w14:paraId="004F4FFC" w14:textId="77777777" w:rsidR="001E04FB" w:rsidRPr="00D5509E" w:rsidRDefault="001E04FB" w:rsidP="00E006AB">
            <w:pPr>
              <w:pStyle w:val="a7"/>
              <w:ind w:left="0"/>
              <w:jc w:val="both"/>
              <w:rPr>
                <w:rFonts w:ascii="Times New Roman" w:hAnsi="Times New Roman" w:cs="Times New Roman"/>
              </w:rPr>
            </w:pPr>
          </w:p>
          <w:p w14:paraId="7DBC2E24"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Address: Kyrgyz Republic</w:t>
            </w:r>
          </w:p>
          <w:p w14:paraId="374312BE"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Bishkek, Ibraimov Street, 24</w:t>
            </w:r>
          </w:p>
          <w:p w14:paraId="2332C809"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Tax Identification Number: 01602199310079</w:t>
            </w:r>
          </w:p>
          <w:p w14:paraId="6E30BFE8"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 xml:space="preserve">Bank details: </w:t>
            </w:r>
          </w:p>
          <w:p w14:paraId="5F3F21CA" w14:textId="77777777" w:rsidR="001E04FB" w:rsidRPr="00D5509E" w:rsidRDefault="001E04FB" w:rsidP="00E006AB">
            <w:pPr>
              <w:rPr>
                <w:rFonts w:ascii="Times New Roman" w:hAnsi="Times New Roman" w:cs="Times New Roman"/>
                <w:bCs/>
              </w:rPr>
            </w:pPr>
            <w:r w:rsidRPr="00D5509E">
              <w:rPr>
                <w:rFonts w:ascii="Times New Roman" w:hAnsi="Times New Roman" w:cs="Times New Roman"/>
              </w:rPr>
              <w:t xml:space="preserve">Bank: </w:t>
            </w:r>
            <w:r w:rsidRPr="00D5509E">
              <w:rPr>
                <w:rFonts w:ascii="Times New Roman" w:hAnsi="Times New Roman" w:cs="Times New Roman"/>
                <w:bCs/>
              </w:rPr>
              <w:t>OJSC "Aiyl Bank"</w:t>
            </w:r>
          </w:p>
          <w:p w14:paraId="14001BA0"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 xml:space="preserve">BIC: </w:t>
            </w:r>
            <w:r w:rsidRPr="00D5509E">
              <w:rPr>
                <w:rFonts w:ascii="Times New Roman" w:hAnsi="Times New Roman" w:cs="Times New Roman"/>
                <w:bCs/>
              </w:rPr>
              <w:t>135001</w:t>
            </w:r>
          </w:p>
          <w:p w14:paraId="63308969"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Settlement account No1350100020023658</w:t>
            </w:r>
          </w:p>
          <w:p w14:paraId="58147B80" w14:textId="77777777" w:rsidR="001E04FB" w:rsidRPr="00D5509E" w:rsidRDefault="001E04FB" w:rsidP="00E006AB">
            <w:pPr>
              <w:pStyle w:val="a7"/>
              <w:ind w:left="0"/>
              <w:jc w:val="both"/>
              <w:rPr>
                <w:rFonts w:ascii="Times New Roman" w:hAnsi="Times New Roman" w:cs="Times New Roman"/>
              </w:rPr>
            </w:pPr>
            <w:r w:rsidRPr="00D5509E">
              <w:rPr>
                <w:rFonts w:ascii="Times New Roman" w:hAnsi="Times New Roman" w:cs="Times New Roman"/>
              </w:rPr>
              <w:t>Code and name of the State Tax Inspectorate: 999 – UGNS KKN</w:t>
            </w:r>
          </w:p>
          <w:p w14:paraId="24D2CF18" w14:textId="77777777" w:rsidR="001E04FB" w:rsidRPr="00D5509E" w:rsidRDefault="001E04FB" w:rsidP="00E006AB">
            <w:pPr>
              <w:pStyle w:val="a7"/>
              <w:ind w:left="0"/>
              <w:jc w:val="both"/>
              <w:rPr>
                <w:rFonts w:ascii="Times New Roman" w:hAnsi="Times New Roman" w:cs="Times New Roman"/>
                <w:lang w:val="ru-RU"/>
              </w:rPr>
            </w:pPr>
            <w:r w:rsidRPr="00D5509E">
              <w:rPr>
                <w:rFonts w:ascii="Times New Roman" w:hAnsi="Times New Roman" w:cs="Times New Roman"/>
                <w:bCs/>
              </w:rPr>
              <w:t>Tel: (+996 312) 90-07-07, 90-08-08</w:t>
            </w:r>
          </w:p>
        </w:tc>
        <w:tc>
          <w:tcPr>
            <w:tcW w:w="4740" w:type="dxa"/>
          </w:tcPr>
          <w:p w14:paraId="465F8D48" w14:textId="77777777" w:rsidR="001E04FB" w:rsidRPr="00D5509E" w:rsidRDefault="001E04FB" w:rsidP="00E006AB">
            <w:pPr>
              <w:rPr>
                <w:rFonts w:ascii="Times New Roman" w:hAnsi="Times New Roman" w:cs="Times New Roman"/>
                <w:lang w:val="ru-RU"/>
              </w:rPr>
            </w:pPr>
          </w:p>
        </w:tc>
      </w:tr>
      <w:tr w:rsidR="00181147" w:rsidRPr="00D5509E"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D5509E" w14:paraId="56A193F5" w14:textId="77777777" w:rsidTr="001E04FB">
              <w:tc>
                <w:tcPr>
                  <w:tcW w:w="5299" w:type="dxa"/>
                </w:tcPr>
                <w:p w14:paraId="3BE578CA" w14:textId="77777777" w:rsidR="001E04FB" w:rsidRPr="00D5509E" w:rsidRDefault="001E04FB" w:rsidP="00E006AB">
                  <w:pPr>
                    <w:contextualSpacing/>
                    <w:rPr>
                      <w:rFonts w:ascii="Times New Roman" w:hAnsi="Times New Roman" w:cs="Times New Roman"/>
                      <w:b/>
                      <w:bCs/>
                      <w:lang w:val="ru-RU"/>
                    </w:rPr>
                  </w:pPr>
                  <w:r w:rsidRPr="00D5509E">
                    <w:rPr>
                      <w:rFonts w:ascii="Times New Roman" w:hAnsi="Times New Roman" w:cs="Times New Roman"/>
                      <w:b/>
                    </w:rPr>
                    <w:t>Client</w:t>
                  </w:r>
                </w:p>
              </w:tc>
            </w:tr>
            <w:tr w:rsidR="00181147" w:rsidRPr="00D5509E" w14:paraId="40B55093" w14:textId="77777777" w:rsidTr="001E04FB">
              <w:trPr>
                <w:trHeight w:val="80"/>
              </w:trPr>
              <w:tc>
                <w:tcPr>
                  <w:tcW w:w="5299" w:type="dxa"/>
                </w:tcPr>
                <w:p w14:paraId="09129DFA" w14:textId="77777777" w:rsidR="00B47FE3" w:rsidRPr="00D5509E" w:rsidRDefault="00B47FE3" w:rsidP="00B47FE3">
                  <w:pPr>
                    <w:rPr>
                      <w:rFonts w:ascii="Times New Roman" w:hAnsi="Times New Roman" w:cs="Times New Roman"/>
                      <w:lang w:val="ru-RU"/>
                    </w:rPr>
                  </w:pPr>
                  <w:r w:rsidRPr="00D5509E">
                    <w:rPr>
                      <w:rFonts w:ascii="Times New Roman" w:hAnsi="Times New Roman" w:cs="Times New Roman"/>
                    </w:rPr>
                    <w:t>Name</w:t>
                  </w:r>
                </w:p>
                <w:p w14:paraId="0FB613DF" w14:textId="2A4341FC" w:rsidR="001E04FB" w:rsidRPr="00D5509E" w:rsidRDefault="00B47FE3" w:rsidP="00B47FE3">
                  <w:pPr>
                    <w:contextualSpacing/>
                    <w:rPr>
                      <w:rFonts w:ascii="Times New Roman" w:hAnsi="Times New Roman" w:cs="Times New Roman"/>
                      <w:b/>
                      <w:lang w:val="ru-RU"/>
                    </w:rPr>
                  </w:pPr>
                  <w:r w:rsidRPr="00D5509E">
                    <w:rPr>
                      <w:rFonts w:ascii="Times New Roman" w:hAnsi="Times New Roman" w:cs="Times New Roman"/>
                      <w:b/>
                    </w:rPr>
                    <w:t>Position</w:t>
                  </w:r>
                </w:p>
              </w:tc>
            </w:tr>
          </w:tbl>
          <w:p w14:paraId="16DCCB31" w14:textId="77777777" w:rsidR="001E04FB" w:rsidRPr="00D5509E"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D5509E" w14:paraId="61C26EFE" w14:textId="77777777" w:rsidTr="001E04FB">
              <w:tc>
                <w:tcPr>
                  <w:tcW w:w="4320" w:type="dxa"/>
                </w:tcPr>
                <w:p w14:paraId="76D4EE2F" w14:textId="77777777" w:rsidR="001E04FB" w:rsidRPr="00D5509E" w:rsidRDefault="001E04FB" w:rsidP="00E006AB">
                  <w:pPr>
                    <w:contextualSpacing/>
                    <w:rPr>
                      <w:rFonts w:ascii="Times New Roman" w:hAnsi="Times New Roman" w:cs="Times New Roman"/>
                      <w:b/>
                      <w:bCs/>
                      <w:lang w:val="ru-RU"/>
                    </w:rPr>
                  </w:pPr>
                  <w:r w:rsidRPr="00D5509E">
                    <w:rPr>
                      <w:rFonts w:ascii="Times New Roman" w:hAnsi="Times New Roman" w:cs="Times New Roman"/>
                      <w:b/>
                    </w:rPr>
                    <w:t>Executor</w:t>
                  </w:r>
                </w:p>
              </w:tc>
            </w:tr>
            <w:tr w:rsidR="00181147" w:rsidRPr="00D5509E" w14:paraId="6CDC6B2B" w14:textId="77777777" w:rsidTr="001E04FB">
              <w:trPr>
                <w:trHeight w:val="80"/>
              </w:trPr>
              <w:tc>
                <w:tcPr>
                  <w:tcW w:w="4320" w:type="dxa"/>
                </w:tcPr>
                <w:p w14:paraId="7B28F218" w14:textId="77777777" w:rsidR="001E04FB" w:rsidRPr="00D5509E" w:rsidRDefault="001E04FB" w:rsidP="00E006AB">
                  <w:pPr>
                    <w:contextualSpacing/>
                    <w:rPr>
                      <w:rFonts w:ascii="Times New Roman" w:hAnsi="Times New Roman" w:cs="Times New Roman"/>
                      <w:b/>
                      <w:lang w:val="ru-RU"/>
                    </w:rPr>
                  </w:pPr>
                </w:p>
              </w:tc>
            </w:tr>
            <w:tr w:rsidR="00181147" w:rsidRPr="00D5509E" w14:paraId="588834A5" w14:textId="77777777" w:rsidTr="001E04FB">
              <w:tc>
                <w:tcPr>
                  <w:tcW w:w="4320" w:type="dxa"/>
                </w:tcPr>
                <w:p w14:paraId="5F08328D" w14:textId="77777777" w:rsidR="001E04FB" w:rsidRPr="00D5509E" w:rsidRDefault="001E04FB" w:rsidP="00E006AB">
                  <w:pPr>
                    <w:contextualSpacing/>
                    <w:rPr>
                      <w:rFonts w:ascii="Times New Roman" w:hAnsi="Times New Roman" w:cs="Times New Roman"/>
                      <w:b/>
                      <w:lang w:val="ru-RU"/>
                    </w:rPr>
                  </w:pPr>
                </w:p>
              </w:tc>
            </w:tr>
            <w:tr w:rsidR="00181147" w:rsidRPr="00D5509E" w14:paraId="3B15DD75" w14:textId="77777777" w:rsidTr="001E04FB">
              <w:trPr>
                <w:trHeight w:val="117"/>
              </w:trPr>
              <w:tc>
                <w:tcPr>
                  <w:tcW w:w="4320" w:type="dxa"/>
                </w:tcPr>
                <w:p w14:paraId="67FB9F29" w14:textId="77777777" w:rsidR="001E04FB" w:rsidRPr="00D5509E" w:rsidRDefault="001E04FB" w:rsidP="00E006AB">
                  <w:pPr>
                    <w:contextualSpacing/>
                    <w:rPr>
                      <w:rFonts w:ascii="Times New Roman" w:hAnsi="Times New Roman" w:cs="Times New Roman"/>
                      <w:b/>
                      <w:lang w:val="ru-RU"/>
                    </w:rPr>
                  </w:pPr>
                </w:p>
              </w:tc>
            </w:tr>
          </w:tbl>
          <w:p w14:paraId="2F6BE10E" w14:textId="77777777" w:rsidR="001E04FB" w:rsidRPr="00D5509E" w:rsidRDefault="001E04FB" w:rsidP="00E006AB">
            <w:pPr>
              <w:rPr>
                <w:rFonts w:ascii="Times New Roman" w:hAnsi="Times New Roman" w:cs="Times New Roman"/>
              </w:rPr>
            </w:pPr>
          </w:p>
        </w:tc>
      </w:tr>
    </w:tbl>
    <w:p w14:paraId="0BCB55E1" w14:textId="4F252694" w:rsidR="00F82475" w:rsidRPr="00D5509E" w:rsidRDefault="00F82475" w:rsidP="003563D1">
      <w:pPr>
        <w:spacing w:after="0"/>
        <w:ind w:left="5040" w:firstLine="720"/>
        <w:rPr>
          <w:rFonts w:ascii="Times New Roman" w:eastAsia="Times New Roman" w:hAnsi="Times New Roman" w:cs="Times New Roman"/>
          <w:b/>
          <w:bCs/>
          <w:sz w:val="22"/>
          <w:szCs w:val="22"/>
        </w:rPr>
      </w:pPr>
      <w:r w:rsidRPr="00D5509E">
        <w:rPr>
          <w:rFonts w:ascii="Times New Roman" w:hAnsi="Times New Roman" w:cs="Times New Roman"/>
          <w:sz w:val="22"/>
          <w:szCs w:val="22"/>
        </w:rPr>
        <w:br w:type="page"/>
      </w:r>
      <w:r w:rsidR="003563D1" w:rsidRPr="00D5509E">
        <w:rPr>
          <w:rFonts w:ascii="Times New Roman" w:hAnsi="Times New Roman" w:cs="Times New Roman"/>
          <w:sz w:val="22"/>
          <w:szCs w:val="22"/>
        </w:rPr>
        <w:lastRenderedPageBreak/>
        <w:t xml:space="preserve"> </w:t>
      </w:r>
      <w:r w:rsidRPr="00D5509E">
        <w:rPr>
          <w:rFonts w:ascii="Times New Roman" w:eastAsia="Times New Roman" w:hAnsi="Times New Roman" w:cs="Times New Roman"/>
          <w:b/>
          <w:bCs/>
          <w:sz w:val="22"/>
          <w:szCs w:val="22"/>
        </w:rPr>
        <w:t xml:space="preserve">APPENDIX </w:t>
      </w:r>
      <w:r w:rsidR="003563D1" w:rsidRPr="00D5509E">
        <w:rPr>
          <w:rFonts w:ascii="Times New Roman" w:eastAsia="Times New Roman" w:hAnsi="Times New Roman" w:cs="Times New Roman"/>
          <w:b/>
          <w:bCs/>
          <w:sz w:val="22"/>
          <w:szCs w:val="22"/>
        </w:rPr>
        <w:t>#</w:t>
      </w:r>
      <w:r w:rsidRPr="00D5509E">
        <w:rPr>
          <w:rFonts w:ascii="Times New Roman" w:eastAsia="Times New Roman" w:hAnsi="Times New Roman" w:cs="Times New Roman"/>
          <w:b/>
          <w:bCs/>
          <w:sz w:val="22"/>
          <w:szCs w:val="22"/>
        </w:rPr>
        <w:t>7 TO THE INVITATION</w:t>
      </w:r>
    </w:p>
    <w:p w14:paraId="12AA3E6E" w14:textId="0D25C3E6" w:rsidR="00F82475" w:rsidRPr="00D5509E" w:rsidRDefault="003563D1" w:rsidP="003563D1">
      <w:pPr>
        <w:spacing w:after="0" w:line="240" w:lineRule="auto"/>
        <w:ind w:left="7920"/>
        <w:jc w:val="center"/>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 xml:space="preserve">      </w:t>
      </w:r>
      <w:r w:rsidR="00F82475" w:rsidRPr="00D5509E">
        <w:rPr>
          <w:rFonts w:ascii="Times New Roman" w:eastAsia="Times New Roman" w:hAnsi="Times New Roman" w:cs="Times New Roman"/>
          <w:sz w:val="22"/>
          <w:szCs w:val="22"/>
        </w:rPr>
        <w:t xml:space="preserve">Quotation </w:t>
      </w:r>
    </w:p>
    <w:p w14:paraId="653BE32C" w14:textId="77777777" w:rsidR="00F82475" w:rsidRPr="00D5509E" w:rsidRDefault="00F82475" w:rsidP="00E006AB">
      <w:pPr>
        <w:spacing w:after="0" w:line="240" w:lineRule="auto"/>
        <w:jc w:val="right"/>
        <w:rPr>
          <w:rFonts w:ascii="Times New Roman" w:eastAsia="Times New Roman" w:hAnsi="Times New Roman" w:cs="Times New Roman"/>
          <w:b/>
          <w:bCs/>
          <w:sz w:val="22"/>
          <w:szCs w:val="22"/>
        </w:rPr>
      </w:pPr>
    </w:p>
    <w:p w14:paraId="77D9D40B" w14:textId="5D3A36F4" w:rsidR="00B47235" w:rsidRPr="00D5509E" w:rsidRDefault="00B47235" w:rsidP="00E006AB">
      <w:pPr>
        <w:spacing w:after="0" w:line="240" w:lineRule="auto"/>
        <w:jc w:val="center"/>
        <w:rPr>
          <w:rFonts w:ascii="Times New Roman" w:hAnsi="Times New Roman" w:cs="Times New Roman"/>
          <w:sz w:val="22"/>
          <w:szCs w:val="22"/>
        </w:rPr>
      </w:pPr>
      <w:r w:rsidRPr="00D5509E">
        <w:rPr>
          <w:rFonts w:ascii="Times New Roman" w:hAnsi="Times New Roman" w:cs="Times New Roman"/>
          <w:sz w:val="22"/>
          <w:szCs w:val="22"/>
        </w:rPr>
        <w:t>A financial/commercial proposal must be provided in a separate letter in a password-protected archive. The password is provided at the request of the person responsible for this competition.</w:t>
      </w:r>
    </w:p>
    <w:p w14:paraId="1EFD54BD" w14:textId="5876862B" w:rsidR="00263C61" w:rsidRPr="00D5509E" w:rsidRDefault="00263C61" w:rsidP="00E006AB">
      <w:pPr>
        <w:spacing w:after="0" w:line="240" w:lineRule="auto"/>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Name of the supplier_____________</w:t>
      </w:r>
      <w:r w:rsidR="00852999" w:rsidRPr="00D5509E">
        <w:rPr>
          <w:rFonts w:ascii="Times New Roman" w:eastAsia="Times New Roman" w:hAnsi="Times New Roman" w:cs="Times New Roman"/>
          <w:sz w:val="22"/>
          <w:szCs w:val="22"/>
        </w:rPr>
        <w:t>___________</w:t>
      </w:r>
      <w:r w:rsidRPr="00D5509E">
        <w:rPr>
          <w:rFonts w:ascii="Times New Roman" w:eastAsia="Times New Roman" w:hAnsi="Times New Roman" w:cs="Times New Roman"/>
          <w:sz w:val="22"/>
          <w:szCs w:val="22"/>
        </w:rPr>
        <w:t>_</w:t>
      </w:r>
    </w:p>
    <w:p w14:paraId="77A8906D" w14:textId="77777777" w:rsidR="00263C61" w:rsidRPr="00D5509E" w:rsidRDefault="00263C61" w:rsidP="00E006AB">
      <w:pPr>
        <w:spacing w:after="0" w:line="240" w:lineRule="auto"/>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Subject of procurement_______________________</w:t>
      </w:r>
    </w:p>
    <w:p w14:paraId="18B9A787" w14:textId="24A49B18" w:rsidR="00263C61" w:rsidRPr="00D5509E" w:rsidRDefault="00263C61" w:rsidP="00E006AB">
      <w:pPr>
        <w:spacing w:after="0" w:line="240" w:lineRule="auto"/>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Purchase number_________________________</w:t>
      </w:r>
      <w:r w:rsidR="00852999" w:rsidRPr="00D5509E">
        <w:rPr>
          <w:rFonts w:ascii="Times New Roman" w:eastAsia="Times New Roman" w:hAnsi="Times New Roman" w:cs="Times New Roman"/>
          <w:sz w:val="22"/>
          <w:szCs w:val="22"/>
        </w:rPr>
        <w:t>___</w:t>
      </w:r>
    </w:p>
    <w:p w14:paraId="2489E863" w14:textId="77777777" w:rsidR="00137143" w:rsidRPr="00D5509E" w:rsidRDefault="00137143" w:rsidP="00E006AB">
      <w:pPr>
        <w:spacing w:after="0" w:line="240" w:lineRule="auto"/>
        <w:jc w:val="center"/>
        <w:rPr>
          <w:rFonts w:ascii="Times New Roman" w:hAnsi="Times New Roman" w:cs="Times New Roman"/>
          <w:sz w:val="22"/>
          <w:szCs w:val="22"/>
        </w:rPr>
      </w:pPr>
    </w:p>
    <w:p w14:paraId="531AE75F" w14:textId="77777777" w:rsidR="008E47DD" w:rsidRPr="00D5509E" w:rsidRDefault="008E47DD" w:rsidP="00E006AB">
      <w:pPr>
        <w:spacing w:after="0"/>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Bill of Quantities / List of Services</w:t>
      </w:r>
    </w:p>
    <w:p w14:paraId="68CBDCB4" w14:textId="77777777" w:rsidR="00F82475" w:rsidRPr="00D5509E" w:rsidRDefault="00F82475" w:rsidP="00E006AB">
      <w:pPr>
        <w:spacing w:after="0" w:line="240" w:lineRule="auto"/>
        <w:jc w:val="both"/>
        <w:rPr>
          <w:rFonts w:ascii="Times New Roman" w:eastAsia="Times New Roman" w:hAnsi="Times New Roman" w:cs="Times New Roman"/>
          <w:bCs/>
          <w:sz w:val="22"/>
          <w:szCs w:val="22"/>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817"/>
        <w:gridCol w:w="771"/>
        <w:gridCol w:w="1060"/>
        <w:gridCol w:w="1321"/>
        <w:gridCol w:w="1276"/>
        <w:gridCol w:w="1912"/>
        <w:gridCol w:w="1584"/>
      </w:tblGrid>
      <w:tr w:rsidR="00181147" w:rsidRPr="00D5509E" w14:paraId="327991FD" w14:textId="56938F47" w:rsidTr="005F6D7D">
        <w:tc>
          <w:tcPr>
            <w:tcW w:w="696" w:type="dxa"/>
          </w:tcPr>
          <w:p w14:paraId="6FDED123" w14:textId="4F78565B" w:rsidR="00B00725" w:rsidRPr="00D5509E" w:rsidRDefault="00852999"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w:t>
            </w:r>
          </w:p>
        </w:tc>
        <w:tc>
          <w:tcPr>
            <w:tcW w:w="1975" w:type="dxa"/>
          </w:tcPr>
          <w:p w14:paraId="3496AE89" w14:textId="4601C079" w:rsidR="00B00725" w:rsidRPr="00D5509E" w:rsidRDefault="00852999" w:rsidP="00E006AB">
            <w:pPr>
              <w:spacing w:after="0"/>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 xml:space="preserve"># </w:t>
            </w:r>
            <w:r w:rsidR="00B00725" w:rsidRPr="00D5509E">
              <w:rPr>
                <w:rFonts w:ascii="Times New Roman" w:eastAsia="Times New Roman" w:hAnsi="Times New Roman" w:cs="Times New Roman"/>
                <w:sz w:val="22"/>
                <w:szCs w:val="22"/>
              </w:rPr>
              <w:t>Name</w:t>
            </w:r>
          </w:p>
          <w:p w14:paraId="13B27D29" w14:textId="627078C7" w:rsidR="00B00725" w:rsidRPr="00D5509E" w:rsidRDefault="00B00725" w:rsidP="00E006AB">
            <w:pPr>
              <w:spacing w:after="0"/>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 xml:space="preserve">works / </w:t>
            </w:r>
            <w:r w:rsidR="002174C6" w:rsidRPr="00D5509E">
              <w:rPr>
                <w:rFonts w:ascii="Times New Roman" w:eastAsia="Times New Roman" w:hAnsi="Times New Roman" w:cs="Times New Roman"/>
                <w:sz w:val="22"/>
                <w:szCs w:val="22"/>
              </w:rPr>
              <w:t>services.</w:t>
            </w:r>
          </w:p>
          <w:p w14:paraId="520A0D32" w14:textId="0FFE9494" w:rsidR="00B00725" w:rsidRPr="00D5509E"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D5509E" w:rsidRDefault="00B00725" w:rsidP="00E006AB">
            <w:pPr>
              <w:spacing w:after="0" w:line="240" w:lineRule="auto"/>
              <w:jc w:val="both"/>
              <w:rPr>
                <w:rFonts w:ascii="Times New Roman" w:eastAsia="Times New Roman" w:hAnsi="Times New Roman" w:cs="Times New Roman"/>
                <w:b/>
                <w:bCs/>
                <w:sz w:val="22"/>
                <w:szCs w:val="22"/>
                <w:lang w:val="ru-RU"/>
              </w:rPr>
            </w:pPr>
            <w:r w:rsidRPr="00D5509E">
              <w:rPr>
                <w:rFonts w:ascii="Times New Roman" w:eastAsia="Times New Roman" w:hAnsi="Times New Roman" w:cs="Times New Roman"/>
                <w:b/>
                <w:bCs/>
                <w:sz w:val="22"/>
                <w:szCs w:val="22"/>
              </w:rPr>
              <w:t>Unit Ism</w:t>
            </w:r>
          </w:p>
        </w:tc>
        <w:tc>
          <w:tcPr>
            <w:tcW w:w="848" w:type="dxa"/>
          </w:tcPr>
          <w:p w14:paraId="00CFD017" w14:textId="77777777" w:rsidR="00B00725" w:rsidRPr="00D5509E" w:rsidRDefault="00B00725" w:rsidP="00E006AB">
            <w:pPr>
              <w:spacing w:after="0" w:line="240" w:lineRule="auto"/>
              <w:jc w:val="both"/>
              <w:rPr>
                <w:rFonts w:ascii="Times New Roman" w:eastAsia="Times New Roman" w:hAnsi="Times New Roman" w:cs="Times New Roman"/>
                <w:b/>
                <w:bCs/>
                <w:sz w:val="22"/>
                <w:szCs w:val="22"/>
                <w:lang w:val="ru-RU"/>
              </w:rPr>
            </w:pPr>
            <w:r w:rsidRPr="00D5509E">
              <w:rPr>
                <w:rFonts w:ascii="Times New Roman" w:hAnsi="Times New Roman" w:cs="Times New Roman"/>
                <w:b/>
                <w:bCs/>
                <w:sz w:val="22"/>
                <w:szCs w:val="22"/>
              </w:rPr>
              <w:t>Quantity</w:t>
            </w:r>
          </w:p>
        </w:tc>
        <w:tc>
          <w:tcPr>
            <w:tcW w:w="1343" w:type="dxa"/>
          </w:tcPr>
          <w:p w14:paraId="3F6EA5F2" w14:textId="3A411FDC" w:rsidR="00B00725" w:rsidRPr="00D5509E" w:rsidRDefault="00B00725"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Price per unit (currency) excluding taxes</w:t>
            </w:r>
          </w:p>
        </w:tc>
        <w:tc>
          <w:tcPr>
            <w:tcW w:w="1290" w:type="dxa"/>
          </w:tcPr>
          <w:p w14:paraId="12E11979" w14:textId="3B061F85" w:rsidR="00B00725" w:rsidRPr="00D5509E" w:rsidRDefault="00B00725"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Total price (currency) excluding taxes</w:t>
            </w:r>
          </w:p>
        </w:tc>
        <w:tc>
          <w:tcPr>
            <w:tcW w:w="2046" w:type="dxa"/>
          </w:tcPr>
          <w:p w14:paraId="6B0313E8" w14:textId="77777777" w:rsidR="00B00725" w:rsidRPr="00D5509E" w:rsidRDefault="00B00725"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 xml:space="preserve">VAT and other taxes </w:t>
            </w:r>
          </w:p>
          <w:p w14:paraId="072E2663" w14:textId="77777777" w:rsidR="00B00725" w:rsidRPr="00D5509E" w:rsidRDefault="00B00725" w:rsidP="00E006AB">
            <w:pPr>
              <w:spacing w:after="0" w:line="240" w:lineRule="auto"/>
              <w:jc w:val="both"/>
              <w:rPr>
                <w:rFonts w:ascii="Times New Roman" w:eastAsia="Times New Roman" w:hAnsi="Times New Roman" w:cs="Times New Roman"/>
                <w:b/>
                <w:bCs/>
                <w:sz w:val="22"/>
                <w:szCs w:val="22"/>
              </w:rPr>
            </w:pPr>
          </w:p>
          <w:p w14:paraId="609AECC1" w14:textId="69C9FB23" w:rsidR="00B00725" w:rsidRPr="00D5509E" w:rsidRDefault="00B00725"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(currency)</w:t>
            </w:r>
          </w:p>
        </w:tc>
        <w:tc>
          <w:tcPr>
            <w:tcW w:w="1644" w:type="dxa"/>
          </w:tcPr>
          <w:p w14:paraId="75EC8B61" w14:textId="24F73454" w:rsidR="00B00725" w:rsidRPr="00D5509E" w:rsidRDefault="00B00725" w:rsidP="00E006AB">
            <w:pPr>
              <w:spacing w:after="0" w:line="240" w:lineRule="auto"/>
              <w:jc w:val="both"/>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t>Total Total Price (Currency) Including All Applicable Taxes</w:t>
            </w:r>
          </w:p>
        </w:tc>
      </w:tr>
      <w:tr w:rsidR="00181147" w:rsidRPr="00D5509E" w14:paraId="11FDBA86" w14:textId="62BEB705" w:rsidTr="005F6D7D">
        <w:trPr>
          <w:trHeight w:val="602"/>
        </w:trPr>
        <w:tc>
          <w:tcPr>
            <w:tcW w:w="696" w:type="dxa"/>
          </w:tcPr>
          <w:p w14:paraId="7CE263A2" w14:textId="77777777" w:rsidR="00B00725" w:rsidRPr="00D5509E" w:rsidRDefault="00B00725" w:rsidP="00E006AB">
            <w:pPr>
              <w:spacing w:after="0" w:line="240" w:lineRule="auto"/>
              <w:jc w:val="right"/>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1</w:t>
            </w:r>
          </w:p>
        </w:tc>
        <w:tc>
          <w:tcPr>
            <w:tcW w:w="1975" w:type="dxa"/>
            <w:vAlign w:val="center"/>
          </w:tcPr>
          <w:p w14:paraId="14153E0F" w14:textId="1C6260D4" w:rsidR="00B00725" w:rsidRPr="00D5509E" w:rsidRDefault="005F6D7D" w:rsidP="00E006AB">
            <w:pPr>
              <w:spacing w:after="0" w:line="240" w:lineRule="auto"/>
              <w:jc w:val="both"/>
              <w:rPr>
                <w:rFonts w:ascii="Times New Roman" w:eastAsia="Times New Roman" w:hAnsi="Times New Roman" w:cs="Times New Roman"/>
                <w:bCs/>
                <w:sz w:val="22"/>
                <w:szCs w:val="22"/>
                <w:lang w:val="ru-RU"/>
              </w:rPr>
            </w:pPr>
            <w:r w:rsidRPr="00D5509E">
              <w:rPr>
                <w:rFonts w:ascii="Times New Roman" w:eastAsia="Times New Roman" w:hAnsi="Times New Roman" w:cs="Times New Roman"/>
                <w:bCs/>
                <w:sz w:val="22"/>
                <w:szCs w:val="22"/>
              </w:rPr>
              <w:t>2</w:t>
            </w:r>
          </w:p>
        </w:tc>
        <w:tc>
          <w:tcPr>
            <w:tcW w:w="797" w:type="dxa"/>
          </w:tcPr>
          <w:p w14:paraId="0DFA70D6" w14:textId="05296D07"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3</w:t>
            </w:r>
          </w:p>
        </w:tc>
        <w:tc>
          <w:tcPr>
            <w:tcW w:w="848" w:type="dxa"/>
          </w:tcPr>
          <w:p w14:paraId="5BC77BBC" w14:textId="21484803"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4</w:t>
            </w:r>
          </w:p>
        </w:tc>
        <w:tc>
          <w:tcPr>
            <w:tcW w:w="1343" w:type="dxa"/>
          </w:tcPr>
          <w:p w14:paraId="0EE2CBC4" w14:textId="6CFF63D8"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5</w:t>
            </w:r>
          </w:p>
        </w:tc>
        <w:tc>
          <w:tcPr>
            <w:tcW w:w="1290" w:type="dxa"/>
          </w:tcPr>
          <w:p w14:paraId="2DAFEA55" w14:textId="53030714"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6=4*5</w:t>
            </w:r>
          </w:p>
        </w:tc>
        <w:tc>
          <w:tcPr>
            <w:tcW w:w="2046" w:type="dxa"/>
          </w:tcPr>
          <w:p w14:paraId="50BD8755" w14:textId="36335F03"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7</w:t>
            </w:r>
          </w:p>
        </w:tc>
        <w:tc>
          <w:tcPr>
            <w:tcW w:w="1644" w:type="dxa"/>
          </w:tcPr>
          <w:p w14:paraId="498031BA" w14:textId="60EA1A40" w:rsidR="00B00725" w:rsidRPr="00D5509E" w:rsidRDefault="005F6D7D"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8=6+7</w:t>
            </w:r>
          </w:p>
        </w:tc>
      </w:tr>
      <w:tr w:rsidR="00181147" w:rsidRPr="00D5509E" w14:paraId="0F9D30B6" w14:textId="77777777" w:rsidTr="00B17964">
        <w:trPr>
          <w:trHeight w:val="404"/>
        </w:trPr>
        <w:tc>
          <w:tcPr>
            <w:tcW w:w="696" w:type="dxa"/>
          </w:tcPr>
          <w:p w14:paraId="28BC6FCB" w14:textId="77777777" w:rsidR="005F6D7D" w:rsidRPr="00D5509E"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D5509E"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D5509E"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D5509E" w:rsidRDefault="005D72CC" w:rsidP="00E006AB">
      <w:pPr>
        <w:spacing w:after="0" w:line="240" w:lineRule="auto"/>
        <w:jc w:val="both"/>
        <w:rPr>
          <w:rFonts w:ascii="Times New Roman" w:eastAsia="Times New Roman" w:hAnsi="Times New Roman" w:cs="Times New Roman"/>
          <w:sz w:val="22"/>
          <w:szCs w:val="22"/>
          <w:lang w:val="ru-RU"/>
        </w:rPr>
      </w:pPr>
    </w:p>
    <w:p w14:paraId="4DE66A9F" w14:textId="384BE81D" w:rsidR="005F6D7D" w:rsidRPr="00D5509E" w:rsidRDefault="005F6D7D" w:rsidP="00E006AB">
      <w:pPr>
        <w:spacing w:after="0" w:line="240" w:lineRule="auto"/>
        <w:jc w:val="both"/>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 xml:space="preserve">Note: The supplier indicates prices for all types of </w:t>
      </w:r>
      <w:r w:rsidR="002174C6" w:rsidRPr="00D5509E">
        <w:rPr>
          <w:rFonts w:ascii="Times New Roman" w:eastAsia="Times New Roman" w:hAnsi="Times New Roman" w:cs="Times New Roman"/>
          <w:sz w:val="22"/>
          <w:szCs w:val="22"/>
        </w:rPr>
        <w:t>work</w:t>
      </w:r>
      <w:r w:rsidRPr="00D5509E">
        <w:rPr>
          <w:rFonts w:ascii="Times New Roman" w:eastAsia="Times New Roman" w:hAnsi="Times New Roman" w:cs="Times New Roman"/>
          <w:sz w:val="22"/>
          <w:szCs w:val="22"/>
        </w:rPr>
        <w:t xml:space="preserve">/services included in the Bill of Quantities or List of Services. Types of works/services for which prices are not indicated are not subject to payment after their completion. If the supplier has not estimated and indicated prices, he must indicate in which types of work they are included. All duties, </w:t>
      </w:r>
      <w:r w:rsidR="004A13C5" w:rsidRPr="00D5509E">
        <w:rPr>
          <w:rFonts w:ascii="Times New Roman" w:eastAsia="Times New Roman" w:hAnsi="Times New Roman" w:cs="Times New Roman"/>
          <w:sz w:val="22"/>
          <w:szCs w:val="22"/>
        </w:rPr>
        <w:t>taxes,</w:t>
      </w:r>
      <w:r w:rsidRPr="00D5509E">
        <w:rPr>
          <w:rFonts w:ascii="Times New Roman" w:eastAsia="Times New Roman" w:hAnsi="Times New Roman" w:cs="Times New Roman"/>
          <w:sz w:val="22"/>
          <w:szCs w:val="22"/>
        </w:rPr>
        <w:t xml:space="preserve"> and other charges that the supplier is obliged to pay </w:t>
      </w:r>
      <w:r w:rsidR="004A13C5" w:rsidRPr="00D5509E">
        <w:rPr>
          <w:rFonts w:ascii="Times New Roman" w:eastAsia="Times New Roman" w:hAnsi="Times New Roman" w:cs="Times New Roman"/>
          <w:sz w:val="22"/>
          <w:szCs w:val="22"/>
        </w:rPr>
        <w:t>based on</w:t>
      </w:r>
      <w:r w:rsidRPr="00D5509E">
        <w:rPr>
          <w:rFonts w:ascii="Times New Roman" w:eastAsia="Times New Roman" w:hAnsi="Times New Roman" w:cs="Times New Roman"/>
          <w:sz w:val="22"/>
          <w:szCs w:val="22"/>
        </w:rPr>
        <w:t xml:space="preserve"> the current legislation of the Kyrgyz Republic must be included in the price of the </w:t>
      </w:r>
      <w:r w:rsidR="007C06E1" w:rsidRPr="00D5509E">
        <w:rPr>
          <w:rFonts w:ascii="Times New Roman" w:eastAsia="Times New Roman" w:hAnsi="Times New Roman" w:cs="Times New Roman"/>
          <w:sz w:val="22"/>
          <w:szCs w:val="22"/>
        </w:rPr>
        <w:t>proposal</w:t>
      </w:r>
      <w:r w:rsidRPr="00D5509E">
        <w:rPr>
          <w:rFonts w:ascii="Times New Roman" w:eastAsia="Times New Roman" w:hAnsi="Times New Roman" w:cs="Times New Roman"/>
          <w:sz w:val="22"/>
          <w:szCs w:val="22"/>
        </w:rPr>
        <w:t>.</w:t>
      </w:r>
    </w:p>
    <w:p w14:paraId="1B95366C" w14:textId="77777777" w:rsidR="005F6D7D" w:rsidRPr="00D5509E" w:rsidRDefault="005F6D7D" w:rsidP="00E006AB">
      <w:pPr>
        <w:spacing w:after="0"/>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Deadline/Schedule for the performance of work or provision of services</w:t>
      </w:r>
    </w:p>
    <w:tbl>
      <w:tblPr>
        <w:tblW w:w="104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060"/>
        <w:gridCol w:w="2970"/>
        <w:gridCol w:w="2160"/>
      </w:tblGrid>
      <w:tr w:rsidR="00181147" w:rsidRPr="00D5509E" w14:paraId="6BB1DA0C" w14:textId="77777777" w:rsidTr="00945298">
        <w:trPr>
          <w:trHeight w:val="791"/>
        </w:trPr>
        <w:tc>
          <w:tcPr>
            <w:tcW w:w="2250" w:type="dxa"/>
          </w:tcPr>
          <w:p w14:paraId="4CF528B8" w14:textId="2BF0DC4C" w:rsidR="00A10F1A" w:rsidRPr="00D5509E" w:rsidRDefault="00A10F1A" w:rsidP="00E006AB">
            <w:pPr>
              <w:spacing w:after="0" w:line="240" w:lineRule="auto"/>
              <w:jc w:val="both"/>
              <w:rPr>
                <w:rFonts w:ascii="Times New Roman" w:eastAsia="Times New Roman" w:hAnsi="Times New Roman" w:cs="Times New Roman"/>
                <w:b/>
                <w:bCs/>
                <w:sz w:val="22"/>
                <w:szCs w:val="22"/>
                <w:lang w:val="ru-RU"/>
              </w:rPr>
            </w:pPr>
            <w:r w:rsidRPr="00D5509E">
              <w:rPr>
                <w:rFonts w:ascii="Times New Roman" w:eastAsia="Times New Roman" w:hAnsi="Times New Roman" w:cs="Times New Roman"/>
                <w:b/>
                <w:bCs/>
                <w:sz w:val="22"/>
                <w:szCs w:val="22"/>
              </w:rPr>
              <w:t xml:space="preserve">Stages of work / services </w:t>
            </w:r>
          </w:p>
        </w:tc>
        <w:tc>
          <w:tcPr>
            <w:tcW w:w="3060" w:type="dxa"/>
          </w:tcPr>
          <w:p w14:paraId="4B17FCBF" w14:textId="11952396" w:rsidR="00A10F1A" w:rsidRPr="00D5509E" w:rsidRDefault="00A10F1A" w:rsidP="00E006AB">
            <w:pPr>
              <w:spacing w:after="0" w:line="240" w:lineRule="auto"/>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 xml:space="preserve">Name of types of </w:t>
            </w:r>
            <w:r w:rsidR="002174C6" w:rsidRPr="00D5509E">
              <w:rPr>
                <w:rFonts w:ascii="Times New Roman" w:eastAsia="Times New Roman" w:hAnsi="Times New Roman" w:cs="Times New Roman"/>
                <w:sz w:val="22"/>
                <w:szCs w:val="22"/>
              </w:rPr>
              <w:t>work</w:t>
            </w:r>
            <w:r w:rsidRPr="00D5509E">
              <w:rPr>
                <w:rFonts w:ascii="Times New Roman" w:eastAsia="Times New Roman" w:hAnsi="Times New Roman" w:cs="Times New Roman"/>
                <w:sz w:val="22"/>
                <w:szCs w:val="22"/>
              </w:rPr>
              <w:t xml:space="preserve"> / services</w:t>
            </w:r>
          </w:p>
        </w:tc>
        <w:tc>
          <w:tcPr>
            <w:tcW w:w="2970" w:type="dxa"/>
          </w:tcPr>
          <w:p w14:paraId="7247FE8E" w14:textId="7FC894D4" w:rsidR="00A10F1A" w:rsidRPr="00D5509E" w:rsidRDefault="00A10F1A" w:rsidP="00E006AB">
            <w:pPr>
              <w:spacing w:after="0" w:line="240" w:lineRule="auto"/>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Deadlines for the completion of work/services</w:t>
            </w:r>
          </w:p>
        </w:tc>
        <w:tc>
          <w:tcPr>
            <w:tcW w:w="2160" w:type="dxa"/>
          </w:tcPr>
          <w:p w14:paraId="7A25033D" w14:textId="327FAA0C" w:rsidR="00A10F1A" w:rsidRPr="00D5509E" w:rsidRDefault="00A10F1A" w:rsidP="00E006AB">
            <w:pPr>
              <w:spacing w:after="0" w:line="240" w:lineRule="auto"/>
              <w:jc w:val="both"/>
              <w:rPr>
                <w:rFonts w:ascii="Times New Roman" w:eastAsia="Times New Roman" w:hAnsi="Times New Roman" w:cs="Times New Roman"/>
                <w:b/>
                <w:bCs/>
                <w:sz w:val="22"/>
                <w:szCs w:val="22"/>
                <w:lang w:val="ru-RU"/>
              </w:rPr>
            </w:pPr>
            <w:r w:rsidRPr="00D5509E">
              <w:rPr>
                <w:rFonts w:ascii="Times New Roman" w:eastAsia="Times New Roman" w:hAnsi="Times New Roman" w:cs="Times New Roman"/>
                <w:b/>
                <w:bCs/>
                <w:sz w:val="22"/>
                <w:szCs w:val="22"/>
              </w:rPr>
              <w:t xml:space="preserve">Stages of work / services </w:t>
            </w:r>
          </w:p>
        </w:tc>
      </w:tr>
      <w:tr w:rsidR="00181147" w:rsidRPr="00D5509E" w14:paraId="44B78B70" w14:textId="77777777" w:rsidTr="00945298">
        <w:trPr>
          <w:trHeight w:val="467"/>
        </w:trPr>
        <w:tc>
          <w:tcPr>
            <w:tcW w:w="2250" w:type="dxa"/>
          </w:tcPr>
          <w:p w14:paraId="2106E89C" w14:textId="3389E4D5" w:rsidR="00A10F1A" w:rsidRPr="00D5509E" w:rsidRDefault="00A10F1A" w:rsidP="00E006AB">
            <w:pPr>
              <w:spacing w:after="0" w:line="240" w:lineRule="auto"/>
              <w:jc w:val="right"/>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Step 1</w:t>
            </w:r>
          </w:p>
        </w:tc>
        <w:tc>
          <w:tcPr>
            <w:tcW w:w="3060" w:type="dxa"/>
            <w:vAlign w:val="center"/>
          </w:tcPr>
          <w:p w14:paraId="21167207" w14:textId="77777777" w:rsidR="00A10F1A" w:rsidRPr="00D5509E" w:rsidRDefault="00A10F1A" w:rsidP="00E006AB">
            <w:pPr>
              <w:spacing w:after="0" w:line="240" w:lineRule="auto"/>
              <w:jc w:val="both"/>
              <w:rPr>
                <w:rFonts w:ascii="Times New Roman" w:eastAsia="Times New Roman" w:hAnsi="Times New Roman" w:cs="Times New Roman"/>
                <w:bCs/>
                <w:sz w:val="22"/>
                <w:szCs w:val="22"/>
                <w:lang w:val="ru-RU"/>
              </w:rPr>
            </w:pPr>
            <w:r w:rsidRPr="00D5509E">
              <w:rPr>
                <w:rFonts w:ascii="Times New Roman" w:eastAsia="Times New Roman" w:hAnsi="Times New Roman" w:cs="Times New Roman"/>
                <w:bCs/>
                <w:sz w:val="22"/>
                <w:szCs w:val="22"/>
              </w:rPr>
              <w:t>2</w:t>
            </w:r>
          </w:p>
        </w:tc>
        <w:tc>
          <w:tcPr>
            <w:tcW w:w="2970" w:type="dxa"/>
          </w:tcPr>
          <w:p w14:paraId="752149B6" w14:textId="77777777" w:rsidR="00A10F1A" w:rsidRPr="00D5509E" w:rsidRDefault="00A10F1A"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3</w:t>
            </w:r>
          </w:p>
        </w:tc>
        <w:tc>
          <w:tcPr>
            <w:tcW w:w="2160" w:type="dxa"/>
          </w:tcPr>
          <w:p w14:paraId="49AB0EB0" w14:textId="66AB65F3" w:rsidR="00A10F1A" w:rsidRPr="00D5509E" w:rsidRDefault="00A10F1A"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Step 1</w:t>
            </w:r>
          </w:p>
        </w:tc>
      </w:tr>
      <w:tr w:rsidR="003A2DC0" w:rsidRPr="00D5509E" w14:paraId="1031A669" w14:textId="77777777" w:rsidTr="00945298">
        <w:trPr>
          <w:trHeight w:val="341"/>
        </w:trPr>
        <w:tc>
          <w:tcPr>
            <w:tcW w:w="2250" w:type="dxa"/>
          </w:tcPr>
          <w:p w14:paraId="506D2832" w14:textId="17B53A28" w:rsidR="00A10F1A" w:rsidRPr="00D5509E" w:rsidRDefault="00A10F1A" w:rsidP="00E006AB">
            <w:pPr>
              <w:spacing w:after="0" w:line="240" w:lineRule="auto"/>
              <w:jc w:val="right"/>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 xml:space="preserve">Step 2 </w:t>
            </w:r>
          </w:p>
        </w:tc>
        <w:tc>
          <w:tcPr>
            <w:tcW w:w="3060" w:type="dxa"/>
            <w:vAlign w:val="center"/>
          </w:tcPr>
          <w:p w14:paraId="06ABDE35" w14:textId="77777777" w:rsidR="00A10F1A" w:rsidRPr="00D5509E" w:rsidRDefault="00A10F1A" w:rsidP="00E006AB">
            <w:pPr>
              <w:spacing w:after="0" w:line="240" w:lineRule="auto"/>
              <w:jc w:val="both"/>
              <w:rPr>
                <w:rFonts w:ascii="Times New Roman" w:eastAsia="Times New Roman" w:hAnsi="Times New Roman" w:cs="Times New Roman"/>
                <w:bCs/>
                <w:sz w:val="22"/>
                <w:szCs w:val="22"/>
                <w:lang w:val="ru-RU"/>
              </w:rPr>
            </w:pPr>
          </w:p>
        </w:tc>
        <w:tc>
          <w:tcPr>
            <w:tcW w:w="2970" w:type="dxa"/>
          </w:tcPr>
          <w:p w14:paraId="0A785B24" w14:textId="77777777" w:rsidR="00A10F1A" w:rsidRPr="00D5509E" w:rsidRDefault="00A10F1A" w:rsidP="00E006AB">
            <w:pPr>
              <w:spacing w:after="0" w:line="240" w:lineRule="auto"/>
              <w:jc w:val="center"/>
              <w:rPr>
                <w:rFonts w:ascii="Times New Roman" w:eastAsia="Times New Roman" w:hAnsi="Times New Roman" w:cs="Times New Roman"/>
                <w:sz w:val="22"/>
                <w:szCs w:val="22"/>
                <w:lang w:val="ru-RU"/>
              </w:rPr>
            </w:pPr>
          </w:p>
        </w:tc>
        <w:tc>
          <w:tcPr>
            <w:tcW w:w="2160" w:type="dxa"/>
          </w:tcPr>
          <w:p w14:paraId="171781A4" w14:textId="58730214" w:rsidR="00A10F1A" w:rsidRPr="00D5509E" w:rsidRDefault="00A10F1A" w:rsidP="00E006AB">
            <w:pPr>
              <w:spacing w:after="0" w:line="240" w:lineRule="auto"/>
              <w:jc w:val="center"/>
              <w:rPr>
                <w:rFonts w:ascii="Times New Roman" w:eastAsia="Times New Roman" w:hAnsi="Times New Roman" w:cs="Times New Roman"/>
                <w:sz w:val="22"/>
                <w:szCs w:val="22"/>
                <w:lang w:val="ru-RU"/>
              </w:rPr>
            </w:pPr>
            <w:r w:rsidRPr="00D5509E">
              <w:rPr>
                <w:rFonts w:ascii="Times New Roman" w:eastAsia="Times New Roman" w:hAnsi="Times New Roman" w:cs="Times New Roman"/>
                <w:sz w:val="22"/>
                <w:szCs w:val="22"/>
              </w:rPr>
              <w:t xml:space="preserve">Step 2 </w:t>
            </w:r>
          </w:p>
        </w:tc>
      </w:tr>
    </w:tbl>
    <w:p w14:paraId="4DE956B5" w14:textId="77777777" w:rsidR="00F82475" w:rsidRPr="00D5509E"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D5509E" w:rsidRDefault="006855C1" w:rsidP="00E006AB">
      <w:pPr>
        <w:spacing w:after="0"/>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If necessary, indicate the methods, methods, etc., of performing work or providing services.</w:t>
      </w:r>
    </w:p>
    <w:p w14:paraId="6C3CDC41" w14:textId="77777777" w:rsidR="006855C1" w:rsidRPr="00D5509E" w:rsidRDefault="006855C1" w:rsidP="00E006AB">
      <w:pPr>
        <w:spacing w:after="0"/>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Supplier ________________/____________________ /</w:t>
      </w:r>
    </w:p>
    <w:p w14:paraId="75DA9CDA" w14:textId="77777777" w:rsidR="006855C1" w:rsidRPr="00D5509E" w:rsidRDefault="006855C1" w:rsidP="00E006AB">
      <w:pPr>
        <w:spacing w:after="0"/>
        <w:rPr>
          <w:rFonts w:ascii="Times New Roman" w:eastAsia="Times New Roman" w:hAnsi="Times New Roman" w:cs="Times New Roman"/>
          <w:sz w:val="22"/>
          <w:szCs w:val="22"/>
        </w:rPr>
      </w:pPr>
      <w:r w:rsidRPr="00D5509E">
        <w:rPr>
          <w:rFonts w:ascii="Times New Roman" w:eastAsia="Times New Roman" w:hAnsi="Times New Roman" w:cs="Times New Roman"/>
          <w:sz w:val="22"/>
          <w:szCs w:val="22"/>
        </w:rPr>
        <w:t>(signature) (full name, position)</w:t>
      </w:r>
    </w:p>
    <w:p w14:paraId="5EC03F1F" w14:textId="5692625E" w:rsidR="006855C1" w:rsidRPr="00D5509E" w:rsidRDefault="006855C1" w:rsidP="00E006AB">
      <w:pPr>
        <w:spacing w:after="0"/>
        <w:rPr>
          <w:rFonts w:ascii="Times New Roman" w:eastAsia="Times New Roman" w:hAnsi="Times New Roman" w:cs="Times New Roman"/>
          <w:i/>
          <w:iCs/>
          <w:sz w:val="22"/>
          <w:szCs w:val="22"/>
        </w:rPr>
      </w:pPr>
      <w:r w:rsidRPr="00D5509E">
        <w:rPr>
          <w:rFonts w:ascii="Times New Roman" w:eastAsia="Times New Roman" w:hAnsi="Times New Roman" w:cs="Times New Roman"/>
          <w:i/>
          <w:iCs/>
          <w:sz w:val="22"/>
          <w:szCs w:val="22"/>
        </w:rPr>
        <w:t>Note: This a</w:t>
      </w:r>
      <w:r w:rsidR="002F2A0D" w:rsidRPr="00D5509E">
        <w:rPr>
          <w:rFonts w:ascii="Times New Roman" w:eastAsia="Times New Roman" w:hAnsi="Times New Roman" w:cs="Times New Roman"/>
          <w:i/>
          <w:iCs/>
          <w:sz w:val="22"/>
          <w:szCs w:val="22"/>
        </w:rPr>
        <w:t>ppendix</w:t>
      </w:r>
      <w:r w:rsidRPr="00D5509E">
        <w:rPr>
          <w:rFonts w:ascii="Times New Roman" w:eastAsia="Times New Roman" w:hAnsi="Times New Roman" w:cs="Times New Roman"/>
          <w:i/>
          <w:iCs/>
          <w:sz w:val="22"/>
          <w:szCs w:val="22"/>
        </w:rPr>
        <w:t xml:space="preserve"> must be completed by the participant/provider. This form</w:t>
      </w:r>
    </w:p>
    <w:p w14:paraId="7D6F2CEB" w14:textId="5D5E5541" w:rsidR="002B0F6C" w:rsidRPr="00D5509E" w:rsidRDefault="006855C1" w:rsidP="00E006AB">
      <w:pPr>
        <w:spacing w:after="0"/>
        <w:rPr>
          <w:rFonts w:ascii="Times New Roman" w:eastAsia="Times New Roman" w:hAnsi="Times New Roman" w:cs="Times New Roman"/>
          <w:sz w:val="22"/>
          <w:szCs w:val="22"/>
        </w:rPr>
      </w:pPr>
      <w:r w:rsidRPr="00D5509E">
        <w:rPr>
          <w:rFonts w:ascii="Times New Roman" w:eastAsia="Times New Roman" w:hAnsi="Times New Roman" w:cs="Times New Roman"/>
          <w:i/>
          <w:iCs/>
          <w:sz w:val="22"/>
          <w:szCs w:val="22"/>
        </w:rPr>
        <w:t xml:space="preserve">is included in the tender documentation when purchasing works or services. </w:t>
      </w:r>
      <w:r w:rsidR="002B0F6C" w:rsidRPr="00D5509E">
        <w:rPr>
          <w:rFonts w:ascii="Times New Roman" w:eastAsia="Times New Roman" w:hAnsi="Times New Roman" w:cs="Times New Roman"/>
          <w:sz w:val="22"/>
          <w:szCs w:val="22"/>
        </w:rPr>
        <w:br w:type="page"/>
      </w:r>
    </w:p>
    <w:p w14:paraId="59D63E34" w14:textId="074A3F31" w:rsidR="00F82475" w:rsidRPr="00D5509E" w:rsidRDefault="002B0F6C" w:rsidP="00E006AB">
      <w:pPr>
        <w:spacing w:after="0"/>
        <w:jc w:val="right"/>
        <w:rPr>
          <w:rFonts w:ascii="Times New Roman" w:eastAsia="Times New Roman" w:hAnsi="Times New Roman" w:cs="Times New Roman"/>
          <w:b/>
          <w:bCs/>
          <w:sz w:val="22"/>
          <w:szCs w:val="22"/>
        </w:rPr>
      </w:pPr>
      <w:r w:rsidRPr="00D5509E">
        <w:rPr>
          <w:rFonts w:ascii="Times New Roman" w:eastAsia="Times New Roman" w:hAnsi="Times New Roman" w:cs="Times New Roman"/>
          <w:b/>
          <w:bCs/>
          <w:sz w:val="22"/>
          <w:szCs w:val="22"/>
        </w:rPr>
        <w:lastRenderedPageBreak/>
        <w:t>A</w:t>
      </w:r>
      <w:r w:rsidR="002F2A0D" w:rsidRPr="00D5509E">
        <w:rPr>
          <w:rFonts w:ascii="Times New Roman" w:eastAsia="Times New Roman" w:hAnsi="Times New Roman" w:cs="Times New Roman"/>
          <w:b/>
          <w:bCs/>
          <w:sz w:val="22"/>
          <w:szCs w:val="22"/>
        </w:rPr>
        <w:t>ppendix</w:t>
      </w:r>
      <w:r w:rsidRPr="00D5509E">
        <w:rPr>
          <w:rFonts w:ascii="Times New Roman" w:eastAsia="Times New Roman" w:hAnsi="Times New Roman" w:cs="Times New Roman"/>
          <w:b/>
          <w:bCs/>
          <w:sz w:val="22"/>
          <w:szCs w:val="22"/>
        </w:rPr>
        <w:t xml:space="preserve"> 8 </w:t>
      </w:r>
    </w:p>
    <w:p w14:paraId="76B6A92B" w14:textId="77777777" w:rsidR="00181147" w:rsidRPr="00D5509E" w:rsidRDefault="00181147" w:rsidP="00E006AB">
      <w:pPr>
        <w:spacing w:after="0"/>
        <w:jc w:val="right"/>
        <w:rPr>
          <w:rFonts w:ascii="Times New Roman" w:eastAsia="Times New Roman" w:hAnsi="Times New Roman" w:cs="Times New Roman"/>
          <w:b/>
          <w:bCs/>
          <w:sz w:val="22"/>
          <w:szCs w:val="22"/>
        </w:rPr>
      </w:pPr>
    </w:p>
    <w:p w14:paraId="31439F16" w14:textId="77777777" w:rsidR="00181147" w:rsidRPr="00D5509E" w:rsidRDefault="00181147" w:rsidP="00181147">
      <w:pPr>
        <w:spacing w:after="0" w:line="240" w:lineRule="auto"/>
        <w:jc w:val="center"/>
        <w:rPr>
          <w:rFonts w:ascii="Times New Roman" w:hAnsi="Times New Roman" w:cs="Times New Roman"/>
          <w:b/>
          <w:sz w:val="22"/>
          <w:szCs w:val="22"/>
        </w:rPr>
      </w:pPr>
      <w:bookmarkStart w:id="2" w:name="_Hlk145420829"/>
    </w:p>
    <w:bookmarkEnd w:id="0"/>
    <w:bookmarkEnd w:id="2"/>
    <w:p w14:paraId="01F4DC22" w14:textId="2C6F6661" w:rsidR="00B13244" w:rsidRPr="00D5509E" w:rsidRDefault="00F15246" w:rsidP="00B13244">
      <w:pPr>
        <w:jc w:val="center"/>
        <w:rPr>
          <w:rFonts w:ascii="Times New Roman" w:hAnsi="Times New Roman" w:cs="Times New Roman"/>
          <w:b/>
          <w:sz w:val="22"/>
          <w:szCs w:val="22"/>
        </w:rPr>
      </w:pPr>
      <w:r w:rsidRPr="00D5509E">
        <w:rPr>
          <w:rFonts w:ascii="Times New Roman" w:hAnsi="Times New Roman" w:cs="Times New Roman"/>
          <w:b/>
          <w:sz w:val="22"/>
          <w:szCs w:val="22"/>
        </w:rPr>
        <w:t>TERMS OF REFERENCE</w:t>
      </w:r>
    </w:p>
    <w:p w14:paraId="29ADC5EA" w14:textId="0F653965" w:rsidR="00B13244" w:rsidRPr="00D5509E" w:rsidRDefault="00F44E18" w:rsidP="00B13244">
      <w:pPr>
        <w:jc w:val="center"/>
        <w:rPr>
          <w:rFonts w:ascii="Times New Roman" w:hAnsi="Times New Roman" w:cs="Times New Roman"/>
          <w:sz w:val="22"/>
          <w:szCs w:val="22"/>
          <w:lang w:val="ky-KG"/>
        </w:rPr>
      </w:pPr>
      <w:r w:rsidRPr="00D5509E">
        <w:rPr>
          <w:rFonts w:ascii="Times New Roman" w:hAnsi="Times New Roman" w:cs="Times New Roman"/>
          <w:sz w:val="22"/>
          <w:szCs w:val="22"/>
        </w:rPr>
        <w:t>F</w:t>
      </w:r>
      <w:r w:rsidRPr="00D5509E">
        <w:rPr>
          <w:rFonts w:ascii="Times New Roman" w:hAnsi="Times New Roman" w:cs="Times New Roman"/>
          <w:sz w:val="22"/>
          <w:szCs w:val="22"/>
          <w:lang w:val="ky-KG"/>
        </w:rPr>
        <w:t>or the development of the design for the “</w:t>
      </w:r>
      <w:r w:rsidR="00EC0883" w:rsidRPr="00D5509E">
        <w:rPr>
          <w:rFonts w:ascii="Times New Roman" w:hAnsi="Times New Roman" w:cs="Times New Roman"/>
          <w:sz w:val="22"/>
          <w:szCs w:val="22"/>
          <w:lang w:val="ky-KG"/>
        </w:rPr>
        <w:t xml:space="preserve">Conceptual </w:t>
      </w:r>
      <w:r w:rsidRPr="00D5509E">
        <w:rPr>
          <w:rFonts w:ascii="Times New Roman" w:hAnsi="Times New Roman" w:cs="Times New Roman"/>
          <w:sz w:val="22"/>
          <w:szCs w:val="22"/>
          <w:lang w:val="ky-KG"/>
        </w:rPr>
        <w:t>Mine Closure Plan for 2026.”</w:t>
      </w:r>
    </w:p>
    <w:p w14:paraId="0A8E7961" w14:textId="77777777" w:rsidR="00B13244" w:rsidRPr="00D5509E" w:rsidRDefault="00B13244" w:rsidP="00B13244">
      <w:pPr>
        <w:rPr>
          <w:rFonts w:ascii="Times New Roman" w:hAnsi="Times New Roman" w:cs="Times New Roman"/>
          <w:sz w:val="22"/>
          <w:szCs w:val="22"/>
          <w:lang w:val="ky-KG"/>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929"/>
        <w:gridCol w:w="7015"/>
      </w:tblGrid>
      <w:tr w:rsidR="00B13244" w:rsidRPr="00D5509E" w14:paraId="3112C790" w14:textId="77777777" w:rsidTr="005330DF">
        <w:tc>
          <w:tcPr>
            <w:tcW w:w="339" w:type="pct"/>
          </w:tcPr>
          <w:p w14:paraId="4168D128" w14:textId="2192BDF6" w:rsidR="00B13244" w:rsidRPr="00D5509E" w:rsidRDefault="00B64A8D" w:rsidP="00B64A8D">
            <w:pPr>
              <w:jc w:val="center"/>
              <w:rPr>
                <w:rFonts w:ascii="Times New Roman" w:hAnsi="Times New Roman" w:cs="Times New Roman"/>
                <w:b/>
                <w:sz w:val="22"/>
                <w:szCs w:val="22"/>
              </w:rPr>
            </w:pPr>
            <w:r w:rsidRPr="00D5509E">
              <w:rPr>
                <w:rFonts w:ascii="Times New Roman" w:hAnsi="Times New Roman" w:cs="Times New Roman"/>
                <w:b/>
                <w:sz w:val="22"/>
                <w:szCs w:val="22"/>
              </w:rPr>
              <w:t>Item #</w:t>
            </w:r>
          </w:p>
        </w:tc>
        <w:tc>
          <w:tcPr>
            <w:tcW w:w="1006" w:type="pct"/>
          </w:tcPr>
          <w:p w14:paraId="6BE424EE" w14:textId="5904AF1A" w:rsidR="00B13244" w:rsidRPr="00D5509E" w:rsidRDefault="00B64A8D" w:rsidP="00B64A8D">
            <w:pPr>
              <w:jc w:val="center"/>
              <w:rPr>
                <w:rFonts w:ascii="Times New Roman" w:hAnsi="Times New Roman" w:cs="Times New Roman"/>
                <w:b/>
                <w:sz w:val="22"/>
                <w:szCs w:val="22"/>
              </w:rPr>
            </w:pPr>
            <w:r w:rsidRPr="00D5509E">
              <w:rPr>
                <w:rFonts w:ascii="Times New Roman" w:hAnsi="Times New Roman" w:cs="Times New Roman"/>
                <w:b/>
                <w:sz w:val="22"/>
                <w:szCs w:val="22"/>
              </w:rPr>
              <w:t>List of basic data and requirements</w:t>
            </w:r>
          </w:p>
        </w:tc>
        <w:tc>
          <w:tcPr>
            <w:tcW w:w="3655" w:type="pct"/>
          </w:tcPr>
          <w:p w14:paraId="2A699F58" w14:textId="69E5CD3D" w:rsidR="00B13244" w:rsidRPr="00D5509E" w:rsidRDefault="00B64A8D" w:rsidP="005330DF">
            <w:pPr>
              <w:jc w:val="center"/>
              <w:rPr>
                <w:rFonts w:ascii="Times New Roman" w:hAnsi="Times New Roman" w:cs="Times New Roman"/>
                <w:b/>
                <w:sz w:val="22"/>
                <w:szCs w:val="22"/>
              </w:rPr>
            </w:pPr>
            <w:r w:rsidRPr="00D5509E">
              <w:rPr>
                <w:rFonts w:ascii="Times New Roman" w:hAnsi="Times New Roman" w:cs="Times New Roman"/>
                <w:b/>
                <w:sz w:val="22"/>
                <w:szCs w:val="22"/>
              </w:rPr>
              <w:t>Basic data and requirements</w:t>
            </w:r>
          </w:p>
        </w:tc>
      </w:tr>
      <w:tr w:rsidR="00B13244" w:rsidRPr="00D5509E" w14:paraId="5A79E903" w14:textId="77777777" w:rsidTr="005330DF">
        <w:trPr>
          <w:trHeight w:val="436"/>
        </w:trPr>
        <w:tc>
          <w:tcPr>
            <w:tcW w:w="339" w:type="pct"/>
          </w:tcPr>
          <w:p w14:paraId="387EBBED"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1</w:t>
            </w:r>
          </w:p>
        </w:tc>
        <w:tc>
          <w:tcPr>
            <w:tcW w:w="1006" w:type="pct"/>
          </w:tcPr>
          <w:p w14:paraId="70FC3A0D" w14:textId="6701CAFE" w:rsidR="00B13244" w:rsidRPr="00D5509E" w:rsidRDefault="002D7123" w:rsidP="005330DF">
            <w:pPr>
              <w:rPr>
                <w:rFonts w:ascii="Times New Roman" w:hAnsi="Times New Roman" w:cs="Times New Roman"/>
                <w:sz w:val="22"/>
                <w:szCs w:val="22"/>
              </w:rPr>
            </w:pPr>
            <w:r w:rsidRPr="00D5509E">
              <w:rPr>
                <w:rFonts w:ascii="Times New Roman" w:hAnsi="Times New Roman" w:cs="Times New Roman"/>
                <w:sz w:val="22"/>
                <w:szCs w:val="22"/>
              </w:rPr>
              <w:t>Location of the Facility:</w:t>
            </w:r>
          </w:p>
        </w:tc>
        <w:tc>
          <w:tcPr>
            <w:tcW w:w="3655" w:type="pct"/>
          </w:tcPr>
          <w:p w14:paraId="174C0574" w14:textId="0ED85E9F" w:rsidR="00B13244" w:rsidRPr="00D5509E" w:rsidRDefault="0020652F" w:rsidP="005330DF">
            <w:pPr>
              <w:rPr>
                <w:rFonts w:ascii="Times New Roman" w:hAnsi="Times New Roman" w:cs="Times New Roman"/>
                <w:sz w:val="22"/>
                <w:szCs w:val="22"/>
              </w:rPr>
            </w:pPr>
            <w:r w:rsidRPr="00D5509E">
              <w:rPr>
                <w:rFonts w:ascii="Times New Roman" w:hAnsi="Times New Roman" w:cs="Times New Roman"/>
                <w:sz w:val="22"/>
                <w:szCs w:val="22"/>
              </w:rPr>
              <w:t>Kyrgyz Republic, Issyk-Kul Region, Djety-Oguz District, Kumtor gold deposit.</w:t>
            </w:r>
          </w:p>
        </w:tc>
      </w:tr>
      <w:tr w:rsidR="00B13244" w:rsidRPr="00D5509E" w14:paraId="507E137F" w14:textId="77777777" w:rsidTr="005330DF">
        <w:tblPrEx>
          <w:tblLook w:val="0000" w:firstRow="0" w:lastRow="0" w:firstColumn="0" w:lastColumn="0" w:noHBand="0" w:noVBand="0"/>
        </w:tblPrEx>
        <w:trPr>
          <w:trHeight w:val="422"/>
        </w:trPr>
        <w:tc>
          <w:tcPr>
            <w:tcW w:w="339" w:type="pct"/>
          </w:tcPr>
          <w:p w14:paraId="11ED08EF"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2</w:t>
            </w:r>
          </w:p>
        </w:tc>
        <w:tc>
          <w:tcPr>
            <w:tcW w:w="1006" w:type="pct"/>
          </w:tcPr>
          <w:p w14:paraId="4D7C816E" w14:textId="77AF713E" w:rsidR="00B13244" w:rsidRPr="00D5509E" w:rsidRDefault="00A12391" w:rsidP="005330DF">
            <w:pPr>
              <w:rPr>
                <w:rFonts w:ascii="Times New Roman" w:hAnsi="Times New Roman" w:cs="Times New Roman"/>
                <w:sz w:val="22"/>
                <w:szCs w:val="22"/>
              </w:rPr>
            </w:pPr>
            <w:r w:rsidRPr="00D5509E">
              <w:rPr>
                <w:rFonts w:ascii="Times New Roman" w:hAnsi="Times New Roman" w:cs="Times New Roman"/>
                <w:sz w:val="22"/>
                <w:szCs w:val="22"/>
              </w:rPr>
              <w:t>Customer</w:t>
            </w:r>
          </w:p>
        </w:tc>
        <w:tc>
          <w:tcPr>
            <w:tcW w:w="3655" w:type="pct"/>
          </w:tcPr>
          <w:p w14:paraId="3C7E332D" w14:textId="416326AC" w:rsidR="00B13244" w:rsidRPr="00D5509E" w:rsidRDefault="005D4003" w:rsidP="005330DF">
            <w:pPr>
              <w:rPr>
                <w:rFonts w:ascii="Times New Roman" w:hAnsi="Times New Roman" w:cs="Times New Roman"/>
                <w:sz w:val="22"/>
                <w:szCs w:val="22"/>
              </w:rPr>
            </w:pPr>
            <w:r w:rsidRPr="00D5509E">
              <w:rPr>
                <w:rFonts w:ascii="Times New Roman" w:hAnsi="Times New Roman" w:cs="Times New Roman"/>
                <w:sz w:val="22"/>
                <w:szCs w:val="22"/>
              </w:rPr>
              <w:t>Kumtor Gold Company CJSC</w:t>
            </w:r>
          </w:p>
        </w:tc>
      </w:tr>
      <w:tr w:rsidR="00B13244" w:rsidRPr="00D5509E" w14:paraId="09D4D753" w14:textId="77777777" w:rsidTr="005330DF">
        <w:tblPrEx>
          <w:tblLook w:val="0000" w:firstRow="0" w:lastRow="0" w:firstColumn="0" w:lastColumn="0" w:noHBand="0" w:noVBand="0"/>
        </w:tblPrEx>
        <w:trPr>
          <w:trHeight w:val="467"/>
        </w:trPr>
        <w:tc>
          <w:tcPr>
            <w:tcW w:w="339" w:type="pct"/>
          </w:tcPr>
          <w:p w14:paraId="0FBEDA4A"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3</w:t>
            </w:r>
          </w:p>
        </w:tc>
        <w:tc>
          <w:tcPr>
            <w:tcW w:w="1006" w:type="pct"/>
          </w:tcPr>
          <w:p w14:paraId="27C8F29F" w14:textId="155ADAAD" w:rsidR="00B13244" w:rsidRPr="00D5509E" w:rsidRDefault="005C6E18" w:rsidP="005330DF">
            <w:pPr>
              <w:rPr>
                <w:rFonts w:ascii="Times New Roman" w:hAnsi="Times New Roman" w:cs="Times New Roman"/>
                <w:sz w:val="22"/>
                <w:szCs w:val="22"/>
              </w:rPr>
            </w:pPr>
            <w:r w:rsidRPr="00D5509E">
              <w:rPr>
                <w:rFonts w:ascii="Times New Roman" w:hAnsi="Times New Roman" w:cs="Times New Roman"/>
                <w:sz w:val="22"/>
                <w:szCs w:val="22"/>
              </w:rPr>
              <w:t>Contractor</w:t>
            </w:r>
          </w:p>
        </w:tc>
        <w:tc>
          <w:tcPr>
            <w:tcW w:w="3655" w:type="pct"/>
          </w:tcPr>
          <w:p w14:paraId="631077E7" w14:textId="26506E0B" w:rsidR="00B13244" w:rsidRPr="00D5509E" w:rsidRDefault="005D4003" w:rsidP="005330DF">
            <w:pPr>
              <w:rPr>
                <w:rFonts w:ascii="Times New Roman" w:hAnsi="Times New Roman" w:cs="Times New Roman"/>
                <w:sz w:val="22"/>
                <w:szCs w:val="22"/>
              </w:rPr>
            </w:pPr>
            <w:r w:rsidRPr="00D5509E">
              <w:rPr>
                <w:rFonts w:ascii="Times New Roman" w:hAnsi="Times New Roman" w:cs="Times New Roman"/>
                <w:sz w:val="22"/>
                <w:szCs w:val="22"/>
              </w:rPr>
              <w:t>Appointed by the Customer</w:t>
            </w:r>
          </w:p>
        </w:tc>
      </w:tr>
      <w:tr w:rsidR="00B13244" w:rsidRPr="00D5509E" w14:paraId="46C0D927" w14:textId="77777777" w:rsidTr="005330DF">
        <w:tblPrEx>
          <w:tblLook w:val="0000" w:firstRow="0" w:lastRow="0" w:firstColumn="0" w:lastColumn="0" w:noHBand="0" w:noVBand="0"/>
        </w:tblPrEx>
        <w:trPr>
          <w:trHeight w:val="436"/>
        </w:trPr>
        <w:tc>
          <w:tcPr>
            <w:tcW w:w="339" w:type="pct"/>
          </w:tcPr>
          <w:p w14:paraId="45554F0A"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4</w:t>
            </w:r>
          </w:p>
        </w:tc>
        <w:tc>
          <w:tcPr>
            <w:tcW w:w="1006" w:type="pct"/>
          </w:tcPr>
          <w:p w14:paraId="74C5FBD6" w14:textId="785ABFEE" w:rsidR="00B13244" w:rsidRPr="00D5509E" w:rsidRDefault="002A5B93" w:rsidP="005330DF">
            <w:pPr>
              <w:rPr>
                <w:rFonts w:ascii="Times New Roman" w:hAnsi="Times New Roman" w:cs="Times New Roman"/>
                <w:sz w:val="22"/>
                <w:szCs w:val="22"/>
                <w:lang w:val="ky-KG"/>
              </w:rPr>
            </w:pPr>
            <w:r w:rsidRPr="00D5509E">
              <w:rPr>
                <w:rFonts w:ascii="Times New Roman" w:hAnsi="Times New Roman" w:cs="Times New Roman"/>
                <w:sz w:val="22"/>
                <w:szCs w:val="22"/>
              </w:rPr>
              <w:t>Purpose of the Facility</w:t>
            </w:r>
          </w:p>
        </w:tc>
        <w:tc>
          <w:tcPr>
            <w:tcW w:w="3655" w:type="pct"/>
          </w:tcPr>
          <w:p w14:paraId="6A5B2C56" w14:textId="47603FC9" w:rsidR="00B13244" w:rsidRPr="00D5509E" w:rsidRDefault="00561D16" w:rsidP="005330DF">
            <w:pPr>
              <w:rPr>
                <w:rFonts w:ascii="Times New Roman" w:hAnsi="Times New Roman" w:cs="Times New Roman"/>
                <w:sz w:val="22"/>
                <w:szCs w:val="22"/>
                <w:lang w:val="ky-KG"/>
              </w:rPr>
            </w:pPr>
            <w:r w:rsidRPr="00D5509E">
              <w:rPr>
                <w:rFonts w:ascii="Times New Roman" w:hAnsi="Times New Roman" w:cs="Times New Roman"/>
                <w:sz w:val="22"/>
                <w:szCs w:val="22"/>
                <w:lang w:val="ky-KG"/>
              </w:rPr>
              <w:t xml:space="preserve">Development of the </w:t>
            </w:r>
            <w:r w:rsidR="00807906" w:rsidRPr="00D5509E">
              <w:rPr>
                <w:rFonts w:ascii="Times New Roman" w:hAnsi="Times New Roman" w:cs="Times New Roman"/>
                <w:sz w:val="22"/>
                <w:szCs w:val="22"/>
              </w:rPr>
              <w:t>design for the</w:t>
            </w:r>
            <w:r w:rsidRPr="00D5509E">
              <w:rPr>
                <w:rFonts w:ascii="Times New Roman" w:hAnsi="Times New Roman" w:cs="Times New Roman"/>
                <w:sz w:val="22"/>
                <w:szCs w:val="22"/>
                <w:lang w:val="ky-KG"/>
              </w:rPr>
              <w:t xml:space="preserve"> “</w:t>
            </w:r>
            <w:r w:rsidR="0068488C" w:rsidRPr="00D5509E">
              <w:rPr>
                <w:rFonts w:ascii="Times New Roman" w:hAnsi="Times New Roman" w:cs="Times New Roman"/>
                <w:sz w:val="22"/>
                <w:szCs w:val="22"/>
                <w:lang w:val="ky-KG"/>
              </w:rPr>
              <w:t xml:space="preserve">Conceptual </w:t>
            </w:r>
            <w:r w:rsidRPr="00D5509E">
              <w:rPr>
                <w:rFonts w:ascii="Times New Roman" w:hAnsi="Times New Roman" w:cs="Times New Roman"/>
                <w:sz w:val="22"/>
                <w:szCs w:val="22"/>
                <w:lang w:val="ky-KG"/>
              </w:rPr>
              <w:t xml:space="preserve">Mine Closure Plan” (mine closure </w:t>
            </w:r>
            <w:r w:rsidR="00C53F4E" w:rsidRPr="00D5509E">
              <w:rPr>
                <w:rFonts w:ascii="Times New Roman" w:hAnsi="Times New Roman" w:cs="Times New Roman"/>
                <w:sz w:val="22"/>
                <w:szCs w:val="22"/>
              </w:rPr>
              <w:t>design)</w:t>
            </w:r>
            <w:r w:rsidRPr="00D5509E">
              <w:rPr>
                <w:rFonts w:ascii="Times New Roman" w:hAnsi="Times New Roman" w:cs="Times New Roman"/>
                <w:sz w:val="22"/>
                <w:szCs w:val="22"/>
                <w:lang w:val="ky-KG"/>
              </w:rPr>
              <w:t>.</w:t>
            </w:r>
          </w:p>
        </w:tc>
      </w:tr>
      <w:tr w:rsidR="00B13244" w:rsidRPr="00D5509E" w14:paraId="42D381C8" w14:textId="77777777" w:rsidTr="005330DF">
        <w:tblPrEx>
          <w:tblLook w:val="0000" w:firstRow="0" w:lastRow="0" w:firstColumn="0" w:lastColumn="0" w:noHBand="0" w:noVBand="0"/>
        </w:tblPrEx>
        <w:trPr>
          <w:trHeight w:val="571"/>
        </w:trPr>
        <w:tc>
          <w:tcPr>
            <w:tcW w:w="339" w:type="pct"/>
          </w:tcPr>
          <w:p w14:paraId="6F5774F2"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5</w:t>
            </w:r>
          </w:p>
        </w:tc>
        <w:tc>
          <w:tcPr>
            <w:tcW w:w="1006" w:type="pct"/>
          </w:tcPr>
          <w:p w14:paraId="092E6892" w14:textId="07CEA4C3" w:rsidR="00B13244" w:rsidRPr="00D5509E" w:rsidRDefault="005C7B82" w:rsidP="005330DF">
            <w:pPr>
              <w:rPr>
                <w:rFonts w:ascii="Times New Roman" w:hAnsi="Times New Roman" w:cs="Times New Roman"/>
                <w:sz w:val="22"/>
                <w:szCs w:val="22"/>
                <w:lang w:val="ky-KG"/>
              </w:rPr>
            </w:pPr>
            <w:r w:rsidRPr="00D5509E">
              <w:rPr>
                <w:rFonts w:ascii="Times New Roman" w:hAnsi="Times New Roman" w:cs="Times New Roman"/>
                <w:sz w:val="22"/>
                <w:szCs w:val="22"/>
              </w:rPr>
              <w:t>Special Conditions</w:t>
            </w:r>
            <w:r w:rsidR="00B13244" w:rsidRPr="00D5509E">
              <w:rPr>
                <w:rFonts w:ascii="Times New Roman" w:hAnsi="Times New Roman" w:cs="Times New Roman"/>
                <w:sz w:val="22"/>
                <w:szCs w:val="22"/>
              </w:rPr>
              <w:t xml:space="preserve"> </w:t>
            </w:r>
          </w:p>
        </w:tc>
        <w:tc>
          <w:tcPr>
            <w:tcW w:w="3655" w:type="pct"/>
          </w:tcPr>
          <w:p w14:paraId="546E57DE" w14:textId="7045CE3E" w:rsidR="00B13244" w:rsidRPr="00D5509E" w:rsidRDefault="00EA47D9" w:rsidP="005330DF">
            <w:pPr>
              <w:jc w:val="both"/>
              <w:rPr>
                <w:rFonts w:ascii="Times New Roman" w:hAnsi="Times New Roman" w:cs="Times New Roman"/>
                <w:sz w:val="22"/>
                <w:szCs w:val="22"/>
                <w:lang w:val="ky-KG"/>
              </w:rPr>
            </w:pPr>
            <w:r w:rsidRPr="00D5509E">
              <w:rPr>
                <w:rFonts w:ascii="Times New Roman" w:hAnsi="Times New Roman" w:cs="Times New Roman"/>
                <w:sz w:val="22"/>
                <w:szCs w:val="22"/>
              </w:rPr>
              <w:t xml:space="preserve">Kumtor gold deposit is an open-pit mining operation located in the Issyk-Kul Region of the Kyrgyz Republic (KR). The owner and operator is Kumtor Gold Company (KGC), a subsidiary of Kyrgyzaltyn OJSC. The deposit is situated approximately 350 km southeast of the capital of the Kyrgyz Republic, Bishkek, and 60 km north of the border with the People’s Republic of China. The mine </w:t>
            </w:r>
            <w:r w:rsidR="009840AA" w:rsidRPr="00D5509E">
              <w:rPr>
                <w:rFonts w:ascii="Times New Roman" w:hAnsi="Times New Roman" w:cs="Times New Roman"/>
                <w:sz w:val="22"/>
                <w:szCs w:val="22"/>
              </w:rPr>
              <w:t xml:space="preserve">site is </w:t>
            </w:r>
            <w:r w:rsidRPr="00D5509E">
              <w:rPr>
                <w:rFonts w:ascii="Times New Roman" w:hAnsi="Times New Roman" w:cs="Times New Roman"/>
                <w:sz w:val="22"/>
                <w:szCs w:val="22"/>
              </w:rPr>
              <w:t>in the Central Tien Shan mountains at an elevation of 4,000 meters above sea level, within a permafrost zone partially covered by glaciers.</w:t>
            </w:r>
          </w:p>
          <w:p w14:paraId="282DCDA5" w14:textId="22396EDE" w:rsidR="00B13244" w:rsidRPr="00D5509E" w:rsidRDefault="002140B1" w:rsidP="005330DF">
            <w:pPr>
              <w:rPr>
                <w:rFonts w:ascii="Times New Roman" w:hAnsi="Times New Roman" w:cs="Times New Roman"/>
                <w:sz w:val="22"/>
                <w:szCs w:val="22"/>
              </w:rPr>
            </w:pPr>
            <w:r w:rsidRPr="00D5509E">
              <w:rPr>
                <w:rFonts w:ascii="Times New Roman" w:hAnsi="Times New Roman" w:cs="Times New Roman"/>
                <w:sz w:val="22"/>
                <w:szCs w:val="22"/>
              </w:rPr>
              <w:t>Climatic Data:</w:t>
            </w:r>
          </w:p>
          <w:p w14:paraId="0036FF4C" w14:textId="69F9CC0E" w:rsidR="00B13244" w:rsidRPr="00D5509E" w:rsidRDefault="002140B1"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Humidity zone - dry;</w:t>
            </w:r>
          </w:p>
          <w:p w14:paraId="58ECBD9B" w14:textId="06DAD8B8" w:rsidR="00B13244" w:rsidRPr="00D5509E" w:rsidRDefault="00252C99"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 xml:space="preserve">Climatic sub-region: </w:t>
            </w:r>
            <w:r w:rsidR="00B13244" w:rsidRPr="00D5509E">
              <w:rPr>
                <w:rFonts w:ascii="Times New Roman" w:eastAsia="@Arial Unicode MS" w:hAnsi="Times New Roman" w:cs="Times New Roman"/>
                <w:color w:val="000000"/>
                <w:sz w:val="22"/>
                <w:szCs w:val="22"/>
              </w:rPr>
              <w:t xml:space="preserve">– IА;         </w:t>
            </w:r>
          </w:p>
          <w:p w14:paraId="0D32C997" w14:textId="226A07F7" w:rsidR="00B13244" w:rsidRPr="00D5509E" w:rsidRDefault="00584EA7"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Estimated</w:t>
            </w:r>
            <w:r w:rsidR="00DC2C77" w:rsidRPr="00D5509E">
              <w:rPr>
                <w:rFonts w:ascii="Times New Roman" w:eastAsia="@Arial Unicode MS" w:hAnsi="Times New Roman" w:cs="Times New Roman"/>
                <w:color w:val="000000"/>
                <w:sz w:val="22"/>
                <w:szCs w:val="22"/>
              </w:rPr>
              <w:t xml:space="preserve"> average temperature of the coldest five-day period: -30°C;</w:t>
            </w:r>
            <w:r w:rsidR="00B13244" w:rsidRPr="00D5509E">
              <w:rPr>
                <w:rFonts w:ascii="Times New Roman" w:eastAsia="@Arial Unicode MS" w:hAnsi="Times New Roman" w:cs="Times New Roman"/>
                <w:color w:val="000000"/>
                <w:sz w:val="22"/>
                <w:szCs w:val="22"/>
              </w:rPr>
              <w:t xml:space="preserve">      </w:t>
            </w:r>
          </w:p>
          <w:p w14:paraId="706C6564" w14:textId="0E50A273" w:rsidR="00B13244" w:rsidRPr="00D5509E" w:rsidRDefault="00584EA7"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Estimated</w:t>
            </w:r>
            <w:r w:rsidR="00BA6793" w:rsidRPr="00D5509E">
              <w:rPr>
                <w:rFonts w:ascii="Times New Roman" w:eastAsia="@Arial Unicode MS" w:hAnsi="Times New Roman" w:cs="Times New Roman"/>
                <w:color w:val="000000"/>
                <w:sz w:val="22"/>
                <w:szCs w:val="22"/>
              </w:rPr>
              <w:t xml:space="preserve"> average temperature of the coldest day: -45°C;</w:t>
            </w:r>
          </w:p>
          <w:p w14:paraId="097AAEBC" w14:textId="489BC786" w:rsidR="00B13244" w:rsidRPr="00D5509E" w:rsidRDefault="00510493"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Absolute maximum air temperature: +25°C;</w:t>
            </w:r>
          </w:p>
          <w:p w14:paraId="428E0A15" w14:textId="338C2385" w:rsidR="00B13244" w:rsidRPr="00D5509E" w:rsidRDefault="00510493"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Seismicity of the construction site: 9 on the MSK-64 scale;</w:t>
            </w:r>
            <w:r w:rsidR="00B13244" w:rsidRPr="00D5509E">
              <w:rPr>
                <w:rFonts w:ascii="Times New Roman" w:eastAsia="@Arial Unicode MS" w:hAnsi="Times New Roman" w:cs="Times New Roman"/>
                <w:color w:val="000000"/>
                <w:sz w:val="22"/>
                <w:szCs w:val="22"/>
              </w:rPr>
              <w:t xml:space="preserve">          </w:t>
            </w:r>
          </w:p>
          <w:p w14:paraId="5E25B2C6" w14:textId="00C04881" w:rsidR="00B13244" w:rsidRPr="00D5509E" w:rsidRDefault="0029680A"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Average wind speed: 9 m/s;</w:t>
            </w:r>
            <w:r w:rsidR="00B13244" w:rsidRPr="00D5509E">
              <w:rPr>
                <w:rFonts w:ascii="Times New Roman" w:eastAsia="@Arial Unicode MS" w:hAnsi="Times New Roman" w:cs="Times New Roman"/>
                <w:color w:val="000000"/>
                <w:sz w:val="22"/>
                <w:szCs w:val="22"/>
              </w:rPr>
              <w:t xml:space="preserve">          </w:t>
            </w:r>
          </w:p>
          <w:p w14:paraId="67484C64" w14:textId="036B30F6" w:rsidR="00B13244" w:rsidRPr="00D5509E" w:rsidRDefault="0029680A"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Wind speed (once every 25 years): 30 m/s;</w:t>
            </w:r>
          </w:p>
          <w:p w14:paraId="5BA778D6" w14:textId="2B060539" w:rsidR="00B13244" w:rsidRPr="00D5509E" w:rsidRDefault="00B33062" w:rsidP="00EE08AE">
            <w:pPr>
              <w:numPr>
                <w:ilvl w:val="0"/>
                <w:numId w:val="12"/>
              </w:numPr>
              <w:autoSpaceDE w:val="0"/>
              <w:autoSpaceDN w:val="0"/>
              <w:adjustRightInd w:val="0"/>
              <w:spacing w:after="0" w:line="240" w:lineRule="auto"/>
              <w:rPr>
                <w:rFonts w:ascii="Times New Roman" w:eastAsia="@Arial Unicode MS" w:hAnsi="Times New Roman" w:cs="Times New Roman"/>
                <w:color w:val="000000"/>
                <w:sz w:val="22"/>
                <w:szCs w:val="22"/>
              </w:rPr>
            </w:pPr>
            <w:r w:rsidRPr="00D5509E">
              <w:rPr>
                <w:rFonts w:ascii="Times New Roman" w:eastAsia="@Arial Unicode MS" w:hAnsi="Times New Roman" w:cs="Times New Roman"/>
                <w:color w:val="000000"/>
                <w:sz w:val="22"/>
                <w:szCs w:val="22"/>
              </w:rPr>
              <w:t>Estimated</w:t>
            </w:r>
            <w:r w:rsidR="00133423" w:rsidRPr="00D5509E">
              <w:rPr>
                <w:rFonts w:ascii="Times New Roman" w:eastAsia="@Arial Unicode MS" w:hAnsi="Times New Roman" w:cs="Times New Roman"/>
                <w:color w:val="000000"/>
                <w:sz w:val="22"/>
                <w:szCs w:val="22"/>
              </w:rPr>
              <w:t xml:space="preserve"> </w:t>
            </w:r>
            <w:r w:rsidR="00B53112" w:rsidRPr="00D5509E">
              <w:rPr>
                <w:rFonts w:ascii="Times New Roman" w:eastAsia="@Arial Unicode MS" w:hAnsi="Times New Roman" w:cs="Times New Roman"/>
                <w:color w:val="000000"/>
                <w:sz w:val="22"/>
                <w:szCs w:val="22"/>
              </w:rPr>
              <w:t>snow load: P = 67 kgf/m².</w:t>
            </w:r>
            <w:r w:rsidR="00B13244" w:rsidRPr="00D5509E">
              <w:rPr>
                <w:rFonts w:ascii="Times New Roman" w:eastAsia="@Arial Unicode MS" w:hAnsi="Times New Roman" w:cs="Times New Roman"/>
                <w:color w:val="000000"/>
                <w:sz w:val="22"/>
                <w:szCs w:val="22"/>
                <w:lang w:val="ky-KG"/>
              </w:rPr>
              <w:br/>
            </w:r>
          </w:p>
        </w:tc>
      </w:tr>
      <w:tr w:rsidR="00B13244" w:rsidRPr="00D5509E" w14:paraId="1BDAEE18" w14:textId="77777777" w:rsidTr="005330DF">
        <w:tblPrEx>
          <w:tblLook w:val="0000" w:firstRow="0" w:lastRow="0" w:firstColumn="0" w:lastColumn="0" w:noHBand="0" w:noVBand="0"/>
        </w:tblPrEx>
        <w:trPr>
          <w:trHeight w:val="571"/>
        </w:trPr>
        <w:tc>
          <w:tcPr>
            <w:tcW w:w="339" w:type="pct"/>
          </w:tcPr>
          <w:p w14:paraId="4726BFE8" w14:textId="77777777" w:rsidR="00B13244" w:rsidRPr="00D5509E" w:rsidRDefault="00B13244" w:rsidP="005330DF">
            <w:pPr>
              <w:jc w:val="center"/>
              <w:rPr>
                <w:rFonts w:ascii="Times New Roman" w:hAnsi="Times New Roman" w:cs="Times New Roman"/>
                <w:sz w:val="22"/>
                <w:szCs w:val="22"/>
              </w:rPr>
            </w:pPr>
          </w:p>
        </w:tc>
        <w:tc>
          <w:tcPr>
            <w:tcW w:w="1006" w:type="pct"/>
          </w:tcPr>
          <w:p w14:paraId="349CF07D" w14:textId="77EC1044" w:rsidR="00B13244" w:rsidRPr="00D5509E" w:rsidRDefault="00EC2D97" w:rsidP="005330DF">
            <w:pPr>
              <w:rPr>
                <w:rFonts w:ascii="Times New Roman" w:hAnsi="Times New Roman" w:cs="Times New Roman"/>
                <w:sz w:val="22"/>
                <w:szCs w:val="22"/>
              </w:rPr>
            </w:pPr>
            <w:r w:rsidRPr="00D5509E">
              <w:rPr>
                <w:rFonts w:ascii="Times New Roman" w:hAnsi="Times New Roman" w:cs="Times New Roman"/>
                <w:sz w:val="22"/>
                <w:szCs w:val="22"/>
              </w:rPr>
              <w:t>Design Stages</w:t>
            </w:r>
          </w:p>
        </w:tc>
        <w:tc>
          <w:tcPr>
            <w:tcW w:w="3655" w:type="pct"/>
          </w:tcPr>
          <w:p w14:paraId="03C2B0A6" w14:textId="2D2606AA" w:rsidR="00B13244" w:rsidRPr="00D5509E" w:rsidRDefault="00EC2D97" w:rsidP="00EE08AE">
            <w:pPr>
              <w:pStyle w:val="a7"/>
              <w:numPr>
                <w:ilvl w:val="0"/>
                <w:numId w:val="3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Conceptual stage</w:t>
            </w:r>
            <w:r w:rsidR="00B13244" w:rsidRPr="00D5509E">
              <w:rPr>
                <w:rFonts w:ascii="Times New Roman" w:hAnsi="Times New Roman" w:cs="Times New Roman"/>
                <w:sz w:val="22"/>
                <w:szCs w:val="22"/>
              </w:rPr>
              <w:t xml:space="preserve"> </w:t>
            </w:r>
          </w:p>
          <w:p w14:paraId="5EFF7D7C" w14:textId="454F3FFE" w:rsidR="00B13244" w:rsidRPr="00D5509E" w:rsidRDefault="002C3A1E" w:rsidP="00EE08AE">
            <w:pPr>
              <w:pStyle w:val="a7"/>
              <w:numPr>
                <w:ilvl w:val="0"/>
                <w:numId w:val="3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Stage D</w:t>
            </w:r>
            <w:r w:rsidR="00B13244" w:rsidRPr="00D5509E">
              <w:rPr>
                <w:rFonts w:ascii="Times New Roman" w:hAnsi="Times New Roman" w:cs="Times New Roman"/>
                <w:sz w:val="22"/>
                <w:szCs w:val="22"/>
              </w:rPr>
              <w:t xml:space="preserve"> (</w:t>
            </w:r>
            <w:r w:rsidRPr="00D5509E">
              <w:rPr>
                <w:rFonts w:ascii="Times New Roman" w:hAnsi="Times New Roman" w:cs="Times New Roman"/>
                <w:sz w:val="22"/>
                <w:szCs w:val="22"/>
              </w:rPr>
              <w:t>Design stage</w:t>
            </w:r>
            <w:r w:rsidR="00B13244" w:rsidRPr="00D5509E">
              <w:rPr>
                <w:rFonts w:ascii="Times New Roman" w:hAnsi="Times New Roman" w:cs="Times New Roman"/>
                <w:sz w:val="22"/>
                <w:szCs w:val="22"/>
              </w:rPr>
              <w:t>)</w:t>
            </w:r>
          </w:p>
          <w:p w14:paraId="0A7DEC32" w14:textId="77BB82FF" w:rsidR="00B13244" w:rsidRPr="00D5509E" w:rsidRDefault="00EA52CA" w:rsidP="00EE08AE">
            <w:pPr>
              <w:pStyle w:val="a7"/>
              <w:numPr>
                <w:ilvl w:val="0"/>
                <w:numId w:val="3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Stage W</w:t>
            </w:r>
            <w:r w:rsidR="00B13244" w:rsidRPr="00D5509E">
              <w:rPr>
                <w:rFonts w:ascii="Times New Roman" w:hAnsi="Times New Roman" w:cs="Times New Roman"/>
                <w:sz w:val="22"/>
                <w:szCs w:val="22"/>
              </w:rPr>
              <w:t xml:space="preserve"> (</w:t>
            </w:r>
            <w:r w:rsidR="0039166A" w:rsidRPr="00D5509E">
              <w:rPr>
                <w:rFonts w:ascii="Times New Roman" w:hAnsi="Times New Roman" w:cs="Times New Roman"/>
                <w:sz w:val="22"/>
                <w:szCs w:val="22"/>
              </w:rPr>
              <w:t>Detailed Design / Working Documentation</w:t>
            </w:r>
            <w:r w:rsidR="00B13244" w:rsidRPr="00D5509E">
              <w:rPr>
                <w:rFonts w:ascii="Times New Roman" w:hAnsi="Times New Roman" w:cs="Times New Roman"/>
                <w:sz w:val="22"/>
                <w:szCs w:val="22"/>
              </w:rPr>
              <w:t>)</w:t>
            </w:r>
          </w:p>
        </w:tc>
      </w:tr>
      <w:tr w:rsidR="00B13244" w:rsidRPr="00D5509E" w14:paraId="347030A5" w14:textId="77777777" w:rsidTr="005330DF">
        <w:tblPrEx>
          <w:tblLook w:val="0000" w:firstRow="0" w:lastRow="0" w:firstColumn="0" w:lastColumn="0" w:noHBand="0" w:noVBand="0"/>
        </w:tblPrEx>
        <w:trPr>
          <w:trHeight w:val="571"/>
        </w:trPr>
        <w:tc>
          <w:tcPr>
            <w:tcW w:w="339" w:type="pct"/>
          </w:tcPr>
          <w:p w14:paraId="38ECBD7A"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6</w:t>
            </w:r>
          </w:p>
        </w:tc>
        <w:tc>
          <w:tcPr>
            <w:tcW w:w="1006" w:type="pct"/>
          </w:tcPr>
          <w:p w14:paraId="6D2DB1FB" w14:textId="1C3E2435" w:rsidR="00B13244" w:rsidRPr="00D5509E" w:rsidRDefault="00590CF7" w:rsidP="005330DF">
            <w:pPr>
              <w:rPr>
                <w:rFonts w:ascii="Times New Roman" w:hAnsi="Times New Roman" w:cs="Times New Roman"/>
                <w:sz w:val="22"/>
                <w:szCs w:val="22"/>
              </w:rPr>
            </w:pPr>
            <w:r w:rsidRPr="00D5509E">
              <w:rPr>
                <w:rFonts w:ascii="Times New Roman" w:hAnsi="Times New Roman" w:cs="Times New Roman"/>
                <w:sz w:val="22"/>
                <w:szCs w:val="22"/>
              </w:rPr>
              <w:t>Requirements and General Description of the Scope of Work</w:t>
            </w:r>
          </w:p>
        </w:tc>
        <w:tc>
          <w:tcPr>
            <w:tcW w:w="3655" w:type="pct"/>
          </w:tcPr>
          <w:p w14:paraId="0D11E106" w14:textId="7B4E5916" w:rsidR="00B13244" w:rsidRPr="00D5509E" w:rsidRDefault="00D16D8F" w:rsidP="005330DF">
            <w:p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Based on the Customer’s assignment and in accordance with applicable norms and regulations, the Contractor shall develop the design and cost documentation for the project “Conceptual Mine Closure Plan for 2026,” which shall provide for the following:</w:t>
            </w:r>
          </w:p>
          <w:p w14:paraId="01F259F5" w14:textId="478ECA24" w:rsidR="00B13244" w:rsidRPr="00D5509E" w:rsidRDefault="00AB46B2"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Maximum compliance with regulatory and legal requirements;</w:t>
            </w:r>
          </w:p>
          <w:p w14:paraId="4971B703" w14:textId="3BA0910B" w:rsidR="00B13244" w:rsidRPr="00D5509E" w:rsidRDefault="005813AC"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Minimization of residual environmental impact;</w:t>
            </w:r>
          </w:p>
          <w:p w14:paraId="2A86D1F9" w14:textId="2CEB0995" w:rsidR="00B13244" w:rsidRPr="00D5509E" w:rsidRDefault="005813AC"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Ensuring geotechnical stability of </w:t>
            </w:r>
            <w:r w:rsidR="00B17CA7" w:rsidRPr="00D5509E">
              <w:rPr>
                <w:rFonts w:ascii="Times New Roman" w:hAnsi="Times New Roman" w:cs="Times New Roman"/>
                <w:sz w:val="22"/>
                <w:szCs w:val="22"/>
              </w:rPr>
              <w:t xml:space="preserve">the </w:t>
            </w:r>
            <w:r w:rsidRPr="00D5509E">
              <w:rPr>
                <w:rFonts w:ascii="Times New Roman" w:hAnsi="Times New Roman" w:cs="Times New Roman"/>
                <w:sz w:val="22"/>
                <w:szCs w:val="22"/>
              </w:rPr>
              <w:t>mine facilities;</w:t>
            </w:r>
          </w:p>
          <w:p w14:paraId="11320CCF" w14:textId="5FBF8726" w:rsidR="00B13244" w:rsidRPr="00D5509E" w:rsidRDefault="00B17CA7"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lastRenderedPageBreak/>
              <w:t>Ensuring protection of public health and safety;</w:t>
            </w:r>
          </w:p>
          <w:p w14:paraId="48222263" w14:textId="36D4E11C" w:rsidR="00B13244" w:rsidRPr="00D5509E" w:rsidRDefault="00806598"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Restoration of land to a condition suitable and agreed for post-closure land use;</w:t>
            </w:r>
          </w:p>
          <w:p w14:paraId="608E0ADA" w14:textId="67B53A4C" w:rsidR="00B13244" w:rsidRPr="00D5509E" w:rsidRDefault="00806598" w:rsidP="00EE08AE">
            <w:pPr>
              <w:numPr>
                <w:ilvl w:val="0"/>
                <w:numId w:val="1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Identification and mitigation of social risks/impacts on local communities, business activities, and the overall success of the mine closure process.</w:t>
            </w:r>
          </w:p>
          <w:p w14:paraId="444333B3" w14:textId="59A29FAD" w:rsidR="00B13244" w:rsidRPr="00D5509E" w:rsidRDefault="00CF67F7" w:rsidP="00EE08AE">
            <w:pPr>
              <w:pStyle w:val="a7"/>
              <w:numPr>
                <w:ilvl w:val="0"/>
                <w:numId w:val="17"/>
              </w:numPr>
              <w:spacing w:line="259" w:lineRule="auto"/>
              <w:jc w:val="both"/>
              <w:rPr>
                <w:rFonts w:ascii="Times New Roman" w:hAnsi="Times New Roman" w:cs="Times New Roman"/>
                <w:b/>
                <w:bCs/>
                <w:sz w:val="22"/>
                <w:szCs w:val="22"/>
                <w:lang w:val="ky-KG"/>
              </w:rPr>
            </w:pPr>
            <w:r w:rsidRPr="00D5509E">
              <w:rPr>
                <w:rFonts w:ascii="Times New Roman" w:hAnsi="Times New Roman" w:cs="Times New Roman"/>
                <w:b/>
                <w:bCs/>
                <w:sz w:val="22"/>
                <w:szCs w:val="22"/>
              </w:rPr>
              <w:t>Scope of work</w:t>
            </w:r>
          </w:p>
          <w:p w14:paraId="172F2D3F" w14:textId="2966BCAE" w:rsidR="00B204E1" w:rsidRPr="00D5509E" w:rsidRDefault="009767DB" w:rsidP="009767DB">
            <w:pPr>
              <w:jc w:val="both"/>
            </w:pPr>
            <w:r w:rsidRPr="00D5509E">
              <w:rPr>
                <w:rFonts w:ascii="Times New Roman" w:hAnsi="Times New Roman" w:cs="Times New Roman"/>
                <w:sz w:val="22"/>
                <w:szCs w:val="22"/>
              </w:rPr>
              <w:t>The Conceptual Mine Closure Plan for 2026 shall consider the commitments and strategies outlined in previous versions of the Mine Closure Plan, the current mine development plan, international industry best practices (Good International Industry Practice, GIIP) in mine closure planning (e.g., World Bank guidelines, International Council on Mining and Metals (ICMM) guidelines, etc.), and applicable regulatory requirements, including the laws and other normative legal acts of the Kyrgyz Republic.</w:t>
            </w:r>
            <w:r w:rsidR="00B204E1"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It is also necessary to consider </w:t>
            </w:r>
            <w:r w:rsidR="005E6DCF" w:rsidRPr="00D5509E">
              <w:rPr>
                <w:rFonts w:ascii="Times New Roman" w:hAnsi="Times New Roman" w:cs="Times New Roman"/>
                <w:sz w:val="22"/>
                <w:szCs w:val="22"/>
              </w:rPr>
              <w:t>a few</w:t>
            </w:r>
            <w:r w:rsidRPr="00D5509E">
              <w:rPr>
                <w:rFonts w:ascii="Times New Roman" w:hAnsi="Times New Roman" w:cs="Times New Roman"/>
                <w:sz w:val="22"/>
                <w:szCs w:val="22"/>
              </w:rPr>
              <w:t xml:space="preserve"> recommendations developed as a result of independent reviews and audits of the existing mine closure planning process and the Mine Closure Plans submitted to date.</w:t>
            </w:r>
            <w:r w:rsidR="00B204E1" w:rsidRPr="00D5509E">
              <w:t xml:space="preserve"> </w:t>
            </w:r>
          </w:p>
          <w:p w14:paraId="1B92BF77" w14:textId="362A7DF7" w:rsidR="00B13244" w:rsidRPr="00D5509E" w:rsidRDefault="00B204E1" w:rsidP="009767DB">
            <w:pPr>
              <w:jc w:val="both"/>
              <w:rPr>
                <w:rFonts w:ascii="Times New Roman" w:hAnsi="Times New Roman" w:cs="Times New Roman"/>
                <w:sz w:val="22"/>
                <w:szCs w:val="22"/>
              </w:rPr>
            </w:pPr>
            <w:r w:rsidRPr="00D5509E">
              <w:rPr>
                <w:rFonts w:ascii="Times New Roman" w:hAnsi="Times New Roman" w:cs="Times New Roman"/>
                <w:sz w:val="22"/>
                <w:szCs w:val="22"/>
              </w:rPr>
              <w:t>In particular, the 2026 Mine Closure Plan shall address the following key components:</w:t>
            </w:r>
          </w:p>
          <w:p w14:paraId="7DA9F967" w14:textId="06A1C437" w:rsidR="00B13244" w:rsidRPr="00D5509E" w:rsidRDefault="0096104F"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lang w:val="ru"/>
              </w:rPr>
              <w:t>Description of existing operations;</w:t>
            </w:r>
          </w:p>
          <w:p w14:paraId="7CD1DF86" w14:textId="2EB62E61" w:rsidR="00B13244" w:rsidRPr="00D5509E" w:rsidRDefault="00496ED2"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Definition of final land use objectives and </w:t>
            </w:r>
            <w:r w:rsidR="00E425A1" w:rsidRPr="00D5509E">
              <w:rPr>
                <w:rFonts w:ascii="Times New Roman" w:hAnsi="Times New Roman" w:cs="Times New Roman"/>
                <w:sz w:val="22"/>
                <w:szCs w:val="22"/>
              </w:rPr>
              <w:t>closure</w:t>
            </w:r>
            <w:r w:rsidRPr="00D5509E">
              <w:rPr>
                <w:rFonts w:ascii="Times New Roman" w:hAnsi="Times New Roman" w:cs="Times New Roman"/>
                <w:sz w:val="22"/>
                <w:szCs w:val="22"/>
              </w:rPr>
              <w:t xml:space="preserve"> criteria;</w:t>
            </w:r>
          </w:p>
          <w:p w14:paraId="1A79024E" w14:textId="5C7E2A87" w:rsidR="00B13244" w:rsidRPr="00D5509E" w:rsidRDefault="00496ED2"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Decommissioning</w:t>
            </w:r>
            <w:r w:rsidR="001C03C4" w:rsidRPr="00D5509E">
              <w:rPr>
                <w:rFonts w:ascii="Times New Roman" w:hAnsi="Times New Roman" w:cs="Times New Roman"/>
                <w:sz w:val="22"/>
                <w:szCs w:val="22"/>
              </w:rPr>
              <w:t>/closure</w:t>
            </w:r>
            <w:r w:rsidRPr="00D5509E">
              <w:rPr>
                <w:rFonts w:ascii="Times New Roman" w:hAnsi="Times New Roman" w:cs="Times New Roman"/>
                <w:sz w:val="22"/>
                <w:szCs w:val="22"/>
              </w:rPr>
              <w:t xml:space="preserve"> of the Mill and associated mine infrastructure;</w:t>
            </w:r>
          </w:p>
          <w:p w14:paraId="2F5A3018" w14:textId="37C667FD" w:rsidR="00B13244" w:rsidRPr="00D5509E" w:rsidRDefault="009724BD"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Decommissioning</w:t>
            </w:r>
            <w:r w:rsidR="001C03C4" w:rsidRPr="00D5509E">
              <w:rPr>
                <w:rFonts w:ascii="Times New Roman" w:hAnsi="Times New Roman" w:cs="Times New Roman"/>
                <w:sz w:val="22"/>
                <w:szCs w:val="22"/>
              </w:rPr>
              <w:t>/closure</w:t>
            </w:r>
            <w:r w:rsidRPr="00D5509E">
              <w:rPr>
                <w:rFonts w:ascii="Times New Roman" w:hAnsi="Times New Roman" w:cs="Times New Roman"/>
                <w:sz w:val="22"/>
                <w:szCs w:val="22"/>
              </w:rPr>
              <w:t xml:space="preserve"> of open pits and pit water quality modeling;</w:t>
            </w:r>
          </w:p>
          <w:p w14:paraId="31F3E6AE" w14:textId="2466EE5A" w:rsidR="00B13244" w:rsidRPr="00D5509E" w:rsidRDefault="009724BD"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Stabilization and reclamation of waste rock dumps;</w:t>
            </w:r>
          </w:p>
          <w:p w14:paraId="74E57281" w14:textId="19ACF69B" w:rsidR="00B13244" w:rsidRPr="00D5509E" w:rsidRDefault="00D72C05"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Decommissioning</w:t>
            </w:r>
            <w:r w:rsidR="001C03C4" w:rsidRPr="00D5509E">
              <w:rPr>
                <w:rFonts w:ascii="Times New Roman" w:hAnsi="Times New Roman" w:cs="Times New Roman"/>
                <w:sz w:val="22"/>
                <w:szCs w:val="22"/>
              </w:rPr>
              <w:t>/closure</w:t>
            </w:r>
            <w:r w:rsidRPr="00D5509E">
              <w:rPr>
                <w:rFonts w:ascii="Times New Roman" w:hAnsi="Times New Roman" w:cs="Times New Roman"/>
                <w:sz w:val="22"/>
                <w:szCs w:val="22"/>
              </w:rPr>
              <w:t xml:space="preserve"> of the Tailings Management Facility (TMF) and KGC historical tailings reprocessing complex;</w:t>
            </w:r>
          </w:p>
          <w:p w14:paraId="2166C224" w14:textId="78C6D2F4" w:rsidR="00B13244" w:rsidRPr="00D5509E" w:rsidRDefault="001C03C4"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Decommissioning/closure of underground mining operations;</w:t>
            </w:r>
          </w:p>
          <w:p w14:paraId="7E329B8B" w14:textId="25EA5CA6" w:rsidR="00B13244" w:rsidRPr="00D5509E" w:rsidRDefault="00B504F0"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Forecast of water quality in the receiving environment after mine closure;</w:t>
            </w:r>
          </w:p>
          <w:p w14:paraId="768613BC" w14:textId="553C68C0" w:rsidR="00B13244" w:rsidRPr="00D5509E" w:rsidRDefault="00B504F0"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Mitigation of potential outburst impacts from Lake Petrov (GLOF risk);</w:t>
            </w:r>
          </w:p>
          <w:p w14:paraId="10B01766" w14:textId="4987A755" w:rsidR="00B13244" w:rsidRPr="00D5509E" w:rsidRDefault="00566EAC"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Assessment of the social impacts of mine closure;</w:t>
            </w:r>
          </w:p>
          <w:p w14:paraId="4E7E6085" w14:textId="1BB56393" w:rsidR="00B13244" w:rsidRPr="00D5509E" w:rsidRDefault="00566EAC"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Post-closure monitoring and maintenance requirements;</w:t>
            </w:r>
          </w:p>
          <w:p w14:paraId="6149BE8F" w14:textId="11F47685" w:rsidR="00B13244" w:rsidRPr="00D5509E" w:rsidRDefault="00566EAC"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Detailed cost estimate for mine closure</w:t>
            </w:r>
          </w:p>
          <w:p w14:paraId="65205188" w14:textId="501C12C4" w:rsidR="00B13244" w:rsidRPr="00D5509E" w:rsidRDefault="00570F2B"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Compliance with environmental legislation of the Kyrgyz Republic;</w:t>
            </w:r>
          </w:p>
          <w:p w14:paraId="23E4C997" w14:textId="6FB9E1B1" w:rsidR="00B13244" w:rsidRPr="00D5509E" w:rsidRDefault="00570F2B" w:rsidP="00EE08AE">
            <w:pPr>
              <w:pStyle w:val="a7"/>
              <w:numPr>
                <w:ilvl w:val="0"/>
                <w:numId w:val="1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Waste management;</w:t>
            </w:r>
          </w:p>
          <w:p w14:paraId="1B167103" w14:textId="3AFFEA46" w:rsidR="00B13244" w:rsidRPr="00D5509E" w:rsidRDefault="006D39B9" w:rsidP="00EE08AE">
            <w:pPr>
              <w:pStyle w:val="a7"/>
              <w:numPr>
                <w:ilvl w:val="0"/>
                <w:numId w:val="16"/>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Risk and opportunity assessment and management.</w:t>
            </w:r>
          </w:p>
          <w:p w14:paraId="3B6B7387" w14:textId="77777777" w:rsidR="00AF1955" w:rsidRPr="00D5509E" w:rsidRDefault="00AF1955" w:rsidP="005330DF">
            <w:pPr>
              <w:jc w:val="both"/>
              <w:rPr>
                <w:rFonts w:ascii="Times New Roman" w:hAnsi="Times New Roman" w:cs="Times New Roman"/>
                <w:sz w:val="22"/>
                <w:szCs w:val="22"/>
              </w:rPr>
            </w:pPr>
          </w:p>
          <w:p w14:paraId="08AA2711" w14:textId="450F222D" w:rsidR="00B13244" w:rsidRPr="00D5509E" w:rsidRDefault="006D39B9" w:rsidP="005330DF">
            <w:pPr>
              <w:jc w:val="both"/>
              <w:rPr>
                <w:rFonts w:ascii="Times New Roman" w:hAnsi="Times New Roman" w:cs="Times New Roman"/>
                <w:sz w:val="22"/>
                <w:szCs w:val="22"/>
              </w:rPr>
            </w:pPr>
            <w:r w:rsidRPr="00D5509E">
              <w:rPr>
                <w:rFonts w:ascii="Times New Roman" w:hAnsi="Times New Roman" w:cs="Times New Roman"/>
                <w:sz w:val="22"/>
                <w:szCs w:val="22"/>
              </w:rPr>
              <w:t>Each of these components is discussed in more detail below.</w:t>
            </w:r>
            <w:r w:rsidR="00B13244" w:rsidRPr="00D5509E">
              <w:rPr>
                <w:rFonts w:ascii="Times New Roman" w:hAnsi="Times New Roman" w:cs="Times New Roman"/>
                <w:sz w:val="22"/>
                <w:szCs w:val="22"/>
              </w:rPr>
              <w:t xml:space="preserve"> </w:t>
            </w:r>
          </w:p>
          <w:p w14:paraId="0709B04A" w14:textId="77777777" w:rsidR="006D39B9" w:rsidRPr="00D5509E" w:rsidRDefault="006D39B9" w:rsidP="005330DF">
            <w:pPr>
              <w:jc w:val="both"/>
              <w:rPr>
                <w:rFonts w:ascii="Times New Roman" w:hAnsi="Times New Roman" w:cs="Times New Roman"/>
                <w:sz w:val="22"/>
                <w:szCs w:val="22"/>
              </w:rPr>
            </w:pPr>
          </w:p>
          <w:p w14:paraId="372E48B2" w14:textId="116D1F0D" w:rsidR="00B13244" w:rsidRPr="00D5509E" w:rsidRDefault="00E92E5A" w:rsidP="00EE08AE">
            <w:pPr>
              <w:pStyle w:val="a7"/>
              <w:numPr>
                <w:ilvl w:val="1"/>
                <w:numId w:val="17"/>
              </w:numPr>
              <w:spacing w:after="0" w:line="240" w:lineRule="auto"/>
              <w:rPr>
                <w:rFonts w:ascii="Times New Roman" w:hAnsi="Times New Roman" w:cs="Times New Roman"/>
                <w:b/>
                <w:bCs/>
                <w:sz w:val="22"/>
                <w:szCs w:val="22"/>
                <w:lang w:val="ru"/>
              </w:rPr>
            </w:pPr>
            <w:r w:rsidRPr="00D5509E">
              <w:rPr>
                <w:rFonts w:ascii="Times New Roman" w:hAnsi="Times New Roman" w:cs="Times New Roman"/>
                <w:b/>
                <w:bCs/>
                <w:sz w:val="22"/>
                <w:szCs w:val="22"/>
                <w:lang w:val="ru"/>
              </w:rPr>
              <w:t>Description of Existing Operations</w:t>
            </w:r>
          </w:p>
          <w:p w14:paraId="05A7AB23" w14:textId="77777777" w:rsidR="00B13244" w:rsidRPr="00D5509E" w:rsidRDefault="00B13244" w:rsidP="005330DF">
            <w:pPr>
              <w:pStyle w:val="a7"/>
              <w:rPr>
                <w:rFonts w:ascii="Times New Roman" w:hAnsi="Times New Roman" w:cs="Times New Roman"/>
                <w:b/>
                <w:bCs/>
                <w:sz w:val="22"/>
                <w:szCs w:val="22"/>
                <w:lang w:val="ru"/>
              </w:rPr>
            </w:pPr>
          </w:p>
          <w:p w14:paraId="0C5D195C" w14:textId="56A83A4E" w:rsidR="00B13244" w:rsidRPr="00D5509E" w:rsidRDefault="006B42D1" w:rsidP="006B42D1">
            <w:p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The description of operations presented in the 2023 Mine Closure Plan remains largely unchanged for the current mine development plan, except for underground mining and the processing of historical tailings; however, it </w:t>
            </w:r>
            <w:r w:rsidRPr="00D5509E">
              <w:rPr>
                <w:rFonts w:ascii="Times New Roman" w:hAnsi="Times New Roman" w:cs="Times New Roman"/>
                <w:sz w:val="22"/>
                <w:szCs w:val="22"/>
              </w:rPr>
              <w:lastRenderedPageBreak/>
              <w:t>requires revision to ensure it reflects current operating conditions. Particular attention should be given to the following areas:</w:t>
            </w:r>
          </w:p>
          <w:p w14:paraId="6AA2A860" w14:textId="61172BDA" w:rsidR="00B13244" w:rsidRPr="00D5509E" w:rsidRDefault="006B42D1" w:rsidP="00EE08AE">
            <w:pPr>
              <w:numPr>
                <w:ilvl w:val="0"/>
                <w:numId w:val="18"/>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Mine infrastructure and modifications to the mining equipment fleet;</w:t>
            </w:r>
          </w:p>
          <w:p w14:paraId="7D224F6D" w14:textId="69028413" w:rsidR="00B13244" w:rsidRPr="00D5509E" w:rsidRDefault="001003A8" w:rsidP="00EE08AE">
            <w:pPr>
              <w:numPr>
                <w:ilvl w:val="0"/>
                <w:numId w:val="18"/>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Geotechnical considerations related to waste rock dumps, TMF management, and ice/glacial conditions;</w:t>
            </w:r>
          </w:p>
          <w:p w14:paraId="284DFFA9" w14:textId="57207BE8" w:rsidR="00B13244" w:rsidRPr="00D5509E" w:rsidRDefault="001003A8" w:rsidP="00EE08AE">
            <w:pPr>
              <w:numPr>
                <w:ilvl w:val="0"/>
                <w:numId w:val="18"/>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Water management, particularly pit water management and flows associated with waste rock dumps;</w:t>
            </w:r>
          </w:p>
          <w:p w14:paraId="5355C1FF" w14:textId="7CAD5C12" w:rsidR="00B13244" w:rsidRPr="00D5509E" w:rsidRDefault="001003A8" w:rsidP="00EE08AE">
            <w:pPr>
              <w:numPr>
                <w:ilvl w:val="0"/>
                <w:numId w:val="18"/>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Management of production and consumption waste, including hazardous waste.</w:t>
            </w:r>
          </w:p>
          <w:p w14:paraId="1C00380B" w14:textId="77777777" w:rsidR="00B13244" w:rsidRPr="00D5509E" w:rsidRDefault="00B13244" w:rsidP="005330DF">
            <w:pPr>
              <w:jc w:val="both"/>
              <w:rPr>
                <w:rFonts w:ascii="Times New Roman" w:hAnsi="Times New Roman" w:cs="Times New Roman"/>
                <w:sz w:val="22"/>
                <w:szCs w:val="22"/>
              </w:rPr>
            </w:pPr>
          </w:p>
          <w:p w14:paraId="4F72C0C2" w14:textId="396D6EEF" w:rsidR="00B13244" w:rsidRPr="00D5509E" w:rsidRDefault="00E425A1" w:rsidP="00E425A1">
            <w:pPr>
              <w:pStyle w:val="a7"/>
              <w:numPr>
                <w:ilvl w:val="1"/>
                <w:numId w:val="17"/>
              </w:numPr>
              <w:rPr>
                <w:rFonts w:ascii="Times New Roman" w:hAnsi="Times New Roman" w:cs="Times New Roman"/>
                <w:b/>
                <w:sz w:val="22"/>
                <w:szCs w:val="22"/>
              </w:rPr>
            </w:pPr>
            <w:r w:rsidRPr="00D5509E">
              <w:rPr>
                <w:rFonts w:ascii="Times New Roman" w:hAnsi="Times New Roman" w:cs="Times New Roman"/>
                <w:b/>
                <w:sz w:val="22"/>
                <w:szCs w:val="22"/>
              </w:rPr>
              <w:t>Definition of final land use objectives and closure criteria;</w:t>
            </w:r>
          </w:p>
          <w:p w14:paraId="0059A640" w14:textId="77777777" w:rsidR="00B13244" w:rsidRPr="00D5509E" w:rsidRDefault="00B13244" w:rsidP="005330DF">
            <w:pPr>
              <w:pStyle w:val="a7"/>
              <w:jc w:val="both"/>
              <w:rPr>
                <w:rFonts w:ascii="Times New Roman" w:hAnsi="Times New Roman" w:cs="Times New Roman"/>
                <w:b/>
                <w:sz w:val="22"/>
                <w:szCs w:val="22"/>
              </w:rPr>
            </w:pPr>
          </w:p>
          <w:p w14:paraId="0A4B9B94" w14:textId="297209A0" w:rsidR="00B13244" w:rsidRPr="00D5509E" w:rsidRDefault="00900801" w:rsidP="005330DF">
            <w:pPr>
              <w:jc w:val="both"/>
              <w:rPr>
                <w:rFonts w:ascii="Times New Roman" w:hAnsi="Times New Roman" w:cs="Times New Roman"/>
                <w:sz w:val="22"/>
                <w:szCs w:val="22"/>
              </w:rPr>
            </w:pPr>
            <w:r w:rsidRPr="00D5509E">
              <w:rPr>
                <w:rFonts w:ascii="Times New Roman" w:hAnsi="Times New Roman" w:cs="Times New Roman"/>
                <w:sz w:val="22"/>
                <w:szCs w:val="22"/>
              </w:rPr>
              <w:t>For the 2026 Mine Closure Plan, further work is required to develop specific final land use objectives and success criteria for each key domain and disturbed area of mine. This will be critical to ensure that appropriate reclamation and monitoring strategies are developed at an early stage, particularly given KGC’s harsh climatic conditions, short growing season, and potentially limited availability of topsoil. Kumtor Gold Company aims to contribute to the protection and conservation of biodiversity in the region, including through the application of integrated land use planning approaches throughout the mine life cycle.</w:t>
            </w:r>
          </w:p>
          <w:p w14:paraId="3AFEA734" w14:textId="48AB053C" w:rsidR="00C617C6" w:rsidRPr="00D5509E" w:rsidRDefault="00C617C6" w:rsidP="00C617C6">
            <w:pPr>
              <w:ind w:firstLine="720"/>
              <w:jc w:val="both"/>
              <w:rPr>
                <w:rFonts w:ascii="Times New Roman" w:hAnsi="Times New Roman" w:cs="Times New Roman"/>
                <w:sz w:val="22"/>
                <w:szCs w:val="22"/>
              </w:rPr>
            </w:pPr>
            <w:r w:rsidRPr="00D5509E">
              <w:rPr>
                <w:rFonts w:ascii="Times New Roman" w:hAnsi="Times New Roman" w:cs="Times New Roman"/>
                <w:sz w:val="22"/>
                <w:szCs w:val="22"/>
              </w:rPr>
              <w:t>To date, only preliminary communication and engagement have been conducted with local communities and other stakeholders regarding KGC’s closure objectives (including socio-economic objectives), final land use, and success criteria. For the preparation of the 2026 Mine Closure Plan, it is important to ensure adequate (and documented) stakeholder engagement to guarantee that the interests of affected communities and key stakeholders are fully considered in the final mine closure plan.</w:t>
            </w:r>
          </w:p>
          <w:p w14:paraId="119C2455" w14:textId="56614C6F" w:rsidR="00B13244" w:rsidRPr="00D5509E" w:rsidRDefault="00C617C6" w:rsidP="00C617C6">
            <w:pPr>
              <w:ind w:firstLine="720"/>
              <w:jc w:val="both"/>
              <w:rPr>
                <w:rFonts w:ascii="Times New Roman" w:hAnsi="Times New Roman" w:cs="Times New Roman"/>
                <w:sz w:val="22"/>
                <w:szCs w:val="22"/>
              </w:rPr>
            </w:pPr>
            <w:r w:rsidRPr="00D5509E">
              <w:rPr>
                <w:rFonts w:ascii="Times New Roman" w:hAnsi="Times New Roman" w:cs="Times New Roman"/>
                <w:sz w:val="22"/>
                <w:szCs w:val="22"/>
              </w:rPr>
              <w:t>The requirements for the assessment of social impacts related to mine closure are further described in Section 1.10 below.</w:t>
            </w:r>
          </w:p>
          <w:p w14:paraId="2E2A8F23" w14:textId="77777777" w:rsidR="00B13244" w:rsidRPr="00D5509E" w:rsidRDefault="00B13244" w:rsidP="005330DF">
            <w:pPr>
              <w:ind w:firstLine="720"/>
              <w:jc w:val="both"/>
              <w:rPr>
                <w:rFonts w:ascii="Times New Roman" w:hAnsi="Times New Roman" w:cs="Times New Roman"/>
                <w:sz w:val="22"/>
                <w:szCs w:val="22"/>
              </w:rPr>
            </w:pPr>
          </w:p>
          <w:p w14:paraId="31C1FA22" w14:textId="588AA33D" w:rsidR="00B13244" w:rsidRPr="00D5509E" w:rsidRDefault="002A0144" w:rsidP="002C7A60">
            <w:pPr>
              <w:pStyle w:val="a7"/>
              <w:numPr>
                <w:ilvl w:val="1"/>
                <w:numId w:val="17"/>
              </w:numPr>
              <w:rPr>
                <w:rFonts w:ascii="Times New Roman" w:hAnsi="Times New Roman" w:cs="Times New Roman"/>
                <w:b/>
                <w:sz w:val="22"/>
                <w:szCs w:val="22"/>
              </w:rPr>
            </w:pPr>
            <w:r w:rsidRPr="00D5509E">
              <w:rPr>
                <w:rFonts w:ascii="Times New Roman" w:hAnsi="Times New Roman" w:cs="Times New Roman"/>
                <w:b/>
                <w:sz w:val="22"/>
                <w:szCs w:val="22"/>
              </w:rPr>
              <w:t>Decommissioning/closure of the Mill and associated mine infrastructure;</w:t>
            </w:r>
          </w:p>
          <w:p w14:paraId="79A5C653" w14:textId="77777777" w:rsidR="00B13244" w:rsidRPr="00D5509E" w:rsidRDefault="00B13244" w:rsidP="005330DF">
            <w:pPr>
              <w:pStyle w:val="a7"/>
              <w:jc w:val="both"/>
              <w:rPr>
                <w:rFonts w:ascii="Times New Roman" w:hAnsi="Times New Roman" w:cs="Times New Roman"/>
                <w:b/>
                <w:sz w:val="22"/>
                <w:szCs w:val="22"/>
              </w:rPr>
            </w:pPr>
          </w:p>
          <w:p w14:paraId="67B649C9" w14:textId="28364015" w:rsidR="00B13244" w:rsidRPr="00D5509E" w:rsidRDefault="0072055E" w:rsidP="0072055E">
            <w:pPr>
              <w:spacing w:line="259" w:lineRule="auto"/>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During the mine closure process, it will be necessary to decommission the Mill and associate mine infrastructure and demobilize them from the mine site in accordance with the updated final land use objectives. In addition, the decommissioning requirements set out in the International Cyanide Management Code — Standard Practice </w:t>
            </w:r>
            <w:r w:rsidR="00F2222D" w:rsidRPr="00D5509E">
              <w:rPr>
                <w:rFonts w:ascii="Times New Roman" w:hAnsi="Times New Roman" w:cs="Times New Roman"/>
                <w:sz w:val="22"/>
                <w:szCs w:val="22"/>
              </w:rPr>
              <w:t>#</w:t>
            </w:r>
            <w:r w:rsidRPr="00D5509E">
              <w:rPr>
                <w:rFonts w:ascii="Times New Roman" w:hAnsi="Times New Roman" w:cs="Times New Roman"/>
                <w:sz w:val="22"/>
                <w:szCs w:val="22"/>
              </w:rPr>
              <w:t xml:space="preserve">5, which relates to cyanide-contaminated equipment, shall also be </w:t>
            </w:r>
            <w:r w:rsidR="00096987" w:rsidRPr="00D5509E">
              <w:rPr>
                <w:rFonts w:ascii="Times New Roman" w:hAnsi="Times New Roman" w:cs="Times New Roman"/>
                <w:sz w:val="22"/>
                <w:szCs w:val="22"/>
              </w:rPr>
              <w:t>considered</w:t>
            </w:r>
            <w:r w:rsidRPr="00D5509E">
              <w:rPr>
                <w:rFonts w:ascii="Times New Roman" w:hAnsi="Times New Roman" w:cs="Times New Roman"/>
                <w:sz w:val="22"/>
                <w:szCs w:val="22"/>
              </w:rPr>
              <w:t>.</w:t>
            </w:r>
          </w:p>
          <w:p w14:paraId="57398E57" w14:textId="2A3690F3" w:rsidR="00B13244" w:rsidRPr="00D5509E" w:rsidRDefault="00096987" w:rsidP="00EE08AE">
            <w:pPr>
              <w:pStyle w:val="a7"/>
              <w:numPr>
                <w:ilvl w:val="1"/>
                <w:numId w:val="17"/>
              </w:numPr>
              <w:spacing w:line="259" w:lineRule="auto"/>
              <w:jc w:val="both"/>
              <w:rPr>
                <w:rFonts w:ascii="Times New Roman" w:hAnsi="Times New Roman" w:cs="Times New Roman"/>
                <w:b/>
                <w:sz w:val="22"/>
                <w:szCs w:val="22"/>
                <w:lang w:val="ru"/>
              </w:rPr>
            </w:pPr>
            <w:r w:rsidRPr="00D5509E">
              <w:rPr>
                <w:rFonts w:ascii="Times New Roman" w:hAnsi="Times New Roman" w:cs="Times New Roman"/>
                <w:b/>
                <w:sz w:val="22"/>
                <w:szCs w:val="22"/>
                <w:lang w:val="ru"/>
              </w:rPr>
              <w:t>Decommissioning of Open Pits</w:t>
            </w:r>
          </w:p>
          <w:p w14:paraId="56169624" w14:textId="1CD96B99" w:rsidR="00B13244" w:rsidRPr="00D5509E" w:rsidRDefault="005F60A3" w:rsidP="005F60A3">
            <w:pPr>
              <w:spacing w:line="259" w:lineRule="auto"/>
              <w:ind w:firstLine="720"/>
              <w:jc w:val="both"/>
              <w:rPr>
                <w:rFonts w:ascii="Times New Roman" w:hAnsi="Times New Roman" w:cs="Times New Roman"/>
                <w:sz w:val="22"/>
                <w:szCs w:val="22"/>
              </w:rPr>
            </w:pPr>
            <w:r w:rsidRPr="00D5509E">
              <w:rPr>
                <w:rFonts w:ascii="Times New Roman" w:hAnsi="Times New Roman" w:cs="Times New Roman"/>
                <w:sz w:val="22"/>
                <w:szCs w:val="22"/>
              </w:rPr>
              <w:lastRenderedPageBreak/>
              <w:t>Following mine closure, two open pits/voids will remain that will intersect with local glaciers and will eventually fill and overflow with water, potentially creating a risk of interaction between the water and downstream waste rock dumps before discharge into the Kumtor River. To understand these potential impacts, a conceptual pit lake model for the Central Pit was developed as part of the 2023 Mine Closure Plan. This model combines physical hydrodynamics with geochemical modeling and predicts the long-term physical and chemical evolution of the pit lake water column, from the initial filling stage to long-term steady-state conditions. This pit model shall be reviewed and updated based on the current mine development plan, including forecasts of the volume and chemical composition of water discharged from the pit lake.</w:t>
            </w:r>
          </w:p>
          <w:p w14:paraId="3B8ACA8E" w14:textId="2540B3EF" w:rsidR="00B13244" w:rsidRPr="00D5509E" w:rsidRDefault="00EF0DE4" w:rsidP="00EE08AE">
            <w:pPr>
              <w:pStyle w:val="a7"/>
              <w:numPr>
                <w:ilvl w:val="1"/>
                <w:numId w:val="17"/>
              </w:numPr>
              <w:spacing w:after="0" w:line="240" w:lineRule="auto"/>
              <w:jc w:val="both"/>
              <w:rPr>
                <w:rFonts w:ascii="Times New Roman" w:hAnsi="Times New Roman" w:cs="Times New Roman"/>
                <w:b/>
                <w:sz w:val="22"/>
                <w:szCs w:val="22"/>
                <w:lang w:val="ru"/>
              </w:rPr>
            </w:pPr>
            <w:r w:rsidRPr="00D5509E">
              <w:rPr>
                <w:rFonts w:ascii="Times New Roman" w:hAnsi="Times New Roman" w:cs="Times New Roman"/>
                <w:b/>
                <w:sz w:val="22"/>
                <w:szCs w:val="22"/>
                <w:lang w:val="ru"/>
              </w:rPr>
              <w:t>Waste Rock Dumps</w:t>
            </w:r>
          </w:p>
          <w:p w14:paraId="56897D81" w14:textId="77777777" w:rsidR="00B13244" w:rsidRPr="00D5509E" w:rsidRDefault="00B13244" w:rsidP="005330DF">
            <w:pPr>
              <w:pStyle w:val="a7"/>
              <w:jc w:val="both"/>
              <w:rPr>
                <w:rFonts w:ascii="Times New Roman" w:hAnsi="Times New Roman" w:cs="Times New Roman"/>
                <w:b/>
                <w:sz w:val="22"/>
                <w:szCs w:val="22"/>
                <w:lang w:val="ru"/>
              </w:rPr>
            </w:pPr>
          </w:p>
          <w:p w14:paraId="73A0A87C" w14:textId="03CEC2BC" w:rsidR="00B13244" w:rsidRPr="00D5509E" w:rsidRDefault="00284619" w:rsidP="00284619">
            <w:pPr>
              <w:jc w:val="both"/>
              <w:rPr>
                <w:rFonts w:ascii="Times New Roman" w:hAnsi="Times New Roman" w:cs="Times New Roman"/>
                <w:sz w:val="22"/>
                <w:szCs w:val="22"/>
              </w:rPr>
            </w:pPr>
            <w:r w:rsidRPr="00D5509E">
              <w:rPr>
                <w:rFonts w:ascii="Times New Roman" w:hAnsi="Times New Roman" w:cs="Times New Roman"/>
                <w:sz w:val="22"/>
                <w:szCs w:val="22"/>
              </w:rPr>
              <w:t>A key component of the 2026 Mine Closure Plan will be the proposed strategy for stabilization and reclamation of waste rock dumps following mine closure. This includes consideration of both geochemical stability (i.e., acid rock drainage and metal leaching) and physical stability. Since the initial Environmental Impact Assessment, Kumtor has carried out regular monitoring of the risk of acid drainage formation, considering the ore body, waste rock, and tailings. Based on a few independent assessments conducted by international consultants, it has been concluded that the risk of acid generation at Kumtor is low due to the high carbonate content in the deposits, which neutralizes acidity. In addition, a significant amount of work has been carried out on geotechnical modeling of dump movement. The Consultant responsible for developing the Mine Closure Plan will need to work closely with KGC’s internal geotechnical specialists and external engineering consultants to ensure that these aspects are adequately addressed in the 2026 Mine Closure Plan.</w:t>
            </w:r>
          </w:p>
          <w:p w14:paraId="756C8917" w14:textId="77777777" w:rsidR="00B13244" w:rsidRPr="00D5509E" w:rsidRDefault="00B13244" w:rsidP="005330DF">
            <w:pPr>
              <w:jc w:val="both"/>
              <w:rPr>
                <w:rFonts w:ascii="Times New Roman" w:hAnsi="Times New Roman" w:cs="Times New Roman"/>
                <w:sz w:val="22"/>
                <w:szCs w:val="22"/>
              </w:rPr>
            </w:pPr>
          </w:p>
          <w:p w14:paraId="5FD434DC" w14:textId="40CE4FF4" w:rsidR="00B13244" w:rsidRPr="00D5509E" w:rsidRDefault="00F00470" w:rsidP="00EE08AE">
            <w:pPr>
              <w:pStyle w:val="a7"/>
              <w:numPr>
                <w:ilvl w:val="1"/>
                <w:numId w:val="17"/>
              </w:numPr>
              <w:spacing w:after="0" w:line="240" w:lineRule="auto"/>
              <w:rPr>
                <w:rFonts w:ascii="Times New Roman" w:hAnsi="Times New Roman" w:cs="Times New Roman"/>
                <w:b/>
                <w:sz w:val="22"/>
                <w:szCs w:val="22"/>
              </w:rPr>
            </w:pPr>
            <w:r w:rsidRPr="00D5509E">
              <w:rPr>
                <w:rFonts w:ascii="Times New Roman" w:hAnsi="Times New Roman" w:cs="Times New Roman"/>
                <w:b/>
                <w:sz w:val="22"/>
                <w:szCs w:val="22"/>
              </w:rPr>
              <w:t>Tailings Management Facility (TMF)</w:t>
            </w:r>
          </w:p>
          <w:p w14:paraId="6AFCBF59" w14:textId="77777777" w:rsidR="00B13244" w:rsidRPr="00D5509E" w:rsidRDefault="00B13244" w:rsidP="005330DF">
            <w:pPr>
              <w:pStyle w:val="a7"/>
              <w:rPr>
                <w:rFonts w:ascii="Times New Roman" w:hAnsi="Times New Roman" w:cs="Times New Roman"/>
                <w:b/>
                <w:sz w:val="22"/>
                <w:szCs w:val="22"/>
              </w:rPr>
            </w:pPr>
          </w:p>
          <w:p w14:paraId="7D45BAF4" w14:textId="2048DBD6" w:rsidR="00B13244" w:rsidRPr="00D5509E" w:rsidRDefault="007A303F" w:rsidP="002768C2">
            <w:pPr>
              <w:ind w:firstLine="720"/>
              <w:jc w:val="both"/>
              <w:rPr>
                <w:rFonts w:ascii="Times New Roman" w:hAnsi="Times New Roman" w:cs="Times New Roman"/>
                <w:sz w:val="22"/>
                <w:szCs w:val="22"/>
              </w:rPr>
            </w:pPr>
            <w:r w:rsidRPr="00D5509E">
              <w:rPr>
                <w:rFonts w:ascii="Times New Roman" w:hAnsi="Times New Roman" w:cs="Times New Roman"/>
                <w:sz w:val="22"/>
                <w:szCs w:val="22"/>
              </w:rPr>
              <w:t>To date, mine closure planning for the Tailings Management Facility (TMF) has focused on water management and ensuring that there is no risk of acid rock drainage from the TMF after closure. Based on the geochemical characteristics of Kumtor tailings, the risk of potential acid drainage formation at the TMF is practically nonexistent, and at present no special closure measures are required for additional prevention and control of acid generation.</w:t>
            </w:r>
            <w:r w:rsidR="002768C2" w:rsidRPr="00D5509E">
              <w:rPr>
                <w:rFonts w:ascii="Times New Roman" w:hAnsi="Times New Roman" w:cs="Times New Roman"/>
                <w:sz w:val="22"/>
                <w:szCs w:val="22"/>
              </w:rPr>
              <w:t xml:space="preserve"> </w:t>
            </w:r>
            <w:r w:rsidRPr="00D5509E">
              <w:rPr>
                <w:rFonts w:ascii="Times New Roman" w:hAnsi="Times New Roman" w:cs="Times New Roman"/>
                <w:sz w:val="22"/>
                <w:szCs w:val="22"/>
              </w:rPr>
              <w:t>Further detailed information on the currently proposed TMF reclamation strategy is provided in the 2023 Mine Closure Plan. It will also be necessary to pay particular attention to surface water diversion systems around the TMF to ensure their stability during the post-closure period.</w:t>
            </w:r>
          </w:p>
          <w:p w14:paraId="6AB7A6F9" w14:textId="433F002B" w:rsidR="002768C2" w:rsidRPr="00D5509E" w:rsidRDefault="002768C2" w:rsidP="002768C2">
            <w:pPr>
              <w:pStyle w:val="af"/>
              <w:tabs>
                <w:tab w:val="left" w:pos="851"/>
              </w:tabs>
              <w:spacing w:after="0"/>
              <w:ind w:firstLine="709"/>
              <w:jc w:val="both"/>
              <w:rPr>
                <w:bCs/>
                <w:sz w:val="22"/>
                <w:szCs w:val="22"/>
              </w:rPr>
            </w:pPr>
            <w:r w:rsidRPr="00D5509E">
              <w:rPr>
                <w:bCs/>
                <w:sz w:val="22"/>
                <w:szCs w:val="22"/>
              </w:rPr>
              <w:t xml:space="preserve">In addition, in accordance with the preliminary environmental impact assessment for the feasibility study of the “KGC </w:t>
            </w:r>
            <w:r w:rsidR="008F3B6C" w:rsidRPr="00D5509E">
              <w:rPr>
                <w:bCs/>
                <w:sz w:val="22"/>
                <w:szCs w:val="22"/>
              </w:rPr>
              <w:t>Mill historical t</w:t>
            </w:r>
            <w:r w:rsidRPr="00D5509E">
              <w:rPr>
                <w:bCs/>
                <w:sz w:val="22"/>
                <w:szCs w:val="22"/>
              </w:rPr>
              <w:t xml:space="preserve">ailings </w:t>
            </w:r>
            <w:r w:rsidR="008F3B6C" w:rsidRPr="00D5509E">
              <w:rPr>
                <w:bCs/>
                <w:sz w:val="22"/>
                <w:szCs w:val="22"/>
              </w:rPr>
              <w:lastRenderedPageBreak/>
              <w:t>r</w:t>
            </w:r>
            <w:r w:rsidRPr="00D5509E">
              <w:rPr>
                <w:bCs/>
                <w:sz w:val="22"/>
                <w:szCs w:val="22"/>
              </w:rPr>
              <w:t xml:space="preserve">eprocessing </w:t>
            </w:r>
            <w:r w:rsidR="008F3B6C" w:rsidRPr="00D5509E">
              <w:rPr>
                <w:bCs/>
                <w:sz w:val="22"/>
                <w:szCs w:val="22"/>
              </w:rPr>
              <w:t>c</w:t>
            </w:r>
            <w:r w:rsidRPr="00D5509E">
              <w:rPr>
                <w:bCs/>
                <w:sz w:val="22"/>
                <w:szCs w:val="22"/>
              </w:rPr>
              <w:t>omplex,”</w:t>
            </w:r>
            <w:r w:rsidR="00522C47" w:rsidRPr="00D5509E">
              <w:rPr>
                <w:bCs/>
                <w:sz w:val="22"/>
                <w:szCs w:val="22"/>
              </w:rPr>
              <w:t xml:space="preserve"> project</w:t>
            </w:r>
            <w:r w:rsidRPr="00D5509E">
              <w:rPr>
                <w:bCs/>
                <w:sz w:val="22"/>
                <w:szCs w:val="22"/>
              </w:rPr>
              <w:t xml:space="preserve"> it is necessary to review, update, and supplement the TMF closure </w:t>
            </w:r>
            <w:r w:rsidR="00B940E7" w:rsidRPr="00D5509E">
              <w:rPr>
                <w:bCs/>
                <w:sz w:val="22"/>
                <w:szCs w:val="22"/>
              </w:rPr>
              <w:t>design</w:t>
            </w:r>
            <w:r w:rsidRPr="00D5509E">
              <w:rPr>
                <w:bCs/>
                <w:sz w:val="22"/>
                <w:szCs w:val="22"/>
              </w:rPr>
              <w:t xml:space="preserve"> accordingly. The operation plan for the </w:t>
            </w:r>
            <w:r w:rsidR="00B940E7" w:rsidRPr="00D5509E">
              <w:rPr>
                <w:bCs/>
                <w:sz w:val="22"/>
                <w:szCs w:val="22"/>
              </w:rPr>
              <w:t xml:space="preserve">Historical </w:t>
            </w:r>
            <w:r w:rsidR="00E056FF" w:rsidRPr="00D5509E">
              <w:rPr>
                <w:bCs/>
                <w:sz w:val="22"/>
                <w:szCs w:val="22"/>
              </w:rPr>
              <w:t>Tailings</w:t>
            </w:r>
            <w:r w:rsidRPr="00D5509E">
              <w:rPr>
                <w:bCs/>
                <w:sz w:val="22"/>
                <w:szCs w:val="22"/>
              </w:rPr>
              <w:t xml:space="preserve"> </w:t>
            </w:r>
            <w:r w:rsidR="00B940E7" w:rsidRPr="00D5509E">
              <w:rPr>
                <w:bCs/>
                <w:sz w:val="22"/>
                <w:szCs w:val="22"/>
              </w:rPr>
              <w:t>r</w:t>
            </w:r>
            <w:r w:rsidRPr="00D5509E">
              <w:rPr>
                <w:bCs/>
                <w:sz w:val="22"/>
                <w:szCs w:val="22"/>
              </w:rPr>
              <w:t xml:space="preserve">eprocessing </w:t>
            </w:r>
            <w:r w:rsidR="00B940E7" w:rsidRPr="00D5509E">
              <w:rPr>
                <w:bCs/>
                <w:sz w:val="22"/>
                <w:szCs w:val="22"/>
              </w:rPr>
              <w:t>c</w:t>
            </w:r>
            <w:r w:rsidRPr="00D5509E">
              <w:rPr>
                <w:bCs/>
                <w:sz w:val="22"/>
                <w:szCs w:val="22"/>
              </w:rPr>
              <w:t xml:space="preserve">omplex, including the </w:t>
            </w:r>
            <w:r w:rsidR="00E056FF" w:rsidRPr="00D5509E">
              <w:rPr>
                <w:bCs/>
                <w:sz w:val="22"/>
                <w:szCs w:val="22"/>
              </w:rPr>
              <w:t>transfer</w:t>
            </w:r>
            <w:r w:rsidRPr="00D5509E">
              <w:rPr>
                <w:bCs/>
                <w:sz w:val="22"/>
                <w:szCs w:val="22"/>
              </w:rPr>
              <w:t xml:space="preserve"> tailings storage facility, </w:t>
            </w:r>
            <w:r w:rsidR="00E056FF" w:rsidRPr="00D5509E">
              <w:rPr>
                <w:bCs/>
                <w:sz w:val="22"/>
                <w:szCs w:val="22"/>
              </w:rPr>
              <w:t>provides for the</w:t>
            </w:r>
            <w:r w:rsidRPr="00D5509E">
              <w:rPr>
                <w:bCs/>
                <w:sz w:val="22"/>
                <w:szCs w:val="22"/>
              </w:rPr>
              <w:t xml:space="preserve"> completion of operations in 2043.</w:t>
            </w:r>
          </w:p>
          <w:p w14:paraId="7503FA2D" w14:textId="6DAAC99D" w:rsidR="00B13244" w:rsidRPr="00D5509E" w:rsidRDefault="002768C2" w:rsidP="002768C2">
            <w:pPr>
              <w:pStyle w:val="af"/>
              <w:tabs>
                <w:tab w:val="left" w:pos="851"/>
              </w:tabs>
              <w:spacing w:after="0"/>
              <w:ind w:firstLine="709"/>
              <w:jc w:val="both"/>
              <w:rPr>
                <w:bCs/>
                <w:sz w:val="22"/>
                <w:szCs w:val="22"/>
              </w:rPr>
            </w:pPr>
            <w:r w:rsidRPr="00D5509E">
              <w:rPr>
                <w:bCs/>
                <w:sz w:val="22"/>
                <w:szCs w:val="22"/>
              </w:rPr>
              <w:t xml:space="preserve">Following the commissioning of the </w:t>
            </w:r>
            <w:r w:rsidR="00426FB1" w:rsidRPr="00D5509E">
              <w:rPr>
                <w:bCs/>
                <w:sz w:val="22"/>
                <w:szCs w:val="22"/>
              </w:rPr>
              <w:t xml:space="preserve">Historical </w:t>
            </w:r>
            <w:r w:rsidRPr="00D5509E">
              <w:rPr>
                <w:bCs/>
                <w:sz w:val="22"/>
                <w:szCs w:val="22"/>
              </w:rPr>
              <w:t xml:space="preserve">Tailings </w:t>
            </w:r>
            <w:r w:rsidR="00426FB1" w:rsidRPr="00D5509E">
              <w:rPr>
                <w:bCs/>
                <w:sz w:val="22"/>
                <w:szCs w:val="22"/>
              </w:rPr>
              <w:t>r</w:t>
            </w:r>
            <w:r w:rsidRPr="00D5509E">
              <w:rPr>
                <w:bCs/>
                <w:sz w:val="22"/>
                <w:szCs w:val="22"/>
              </w:rPr>
              <w:t xml:space="preserve">eprocessing </w:t>
            </w:r>
            <w:r w:rsidR="00426FB1" w:rsidRPr="00D5509E">
              <w:rPr>
                <w:bCs/>
                <w:sz w:val="22"/>
                <w:szCs w:val="22"/>
              </w:rPr>
              <w:t>c</w:t>
            </w:r>
            <w:r w:rsidRPr="00D5509E">
              <w:rPr>
                <w:bCs/>
                <w:sz w:val="22"/>
                <w:szCs w:val="22"/>
              </w:rPr>
              <w:t>omplex, the Conceptual Mine Closure Plan shall be updated.</w:t>
            </w:r>
          </w:p>
          <w:p w14:paraId="34A18ADB" w14:textId="70E7A0C2" w:rsidR="00B13244" w:rsidRPr="00D5509E" w:rsidRDefault="00AE7F2F" w:rsidP="005330DF">
            <w:pPr>
              <w:pStyle w:val="af"/>
              <w:tabs>
                <w:tab w:val="left" w:pos="851"/>
              </w:tabs>
              <w:spacing w:after="0"/>
              <w:ind w:firstLine="709"/>
              <w:jc w:val="both"/>
              <w:rPr>
                <w:bCs/>
                <w:sz w:val="22"/>
                <w:szCs w:val="22"/>
                <w:lang w:val="ky-KG"/>
              </w:rPr>
            </w:pPr>
            <w:r w:rsidRPr="00D5509E">
              <w:rPr>
                <w:bCs/>
                <w:sz w:val="22"/>
                <w:szCs w:val="22"/>
              </w:rPr>
              <w:t>The Company’s mine closure and land use objectives include: maximum compliance with regulatory requirements; minimization of residual environmental impact; ensuring geotechnical stability of mine facilities; protection of public health and safety; restoration of land to a condition suitable for post-closure use; and identification and mitigation of social risks and impacts.</w:t>
            </w:r>
          </w:p>
          <w:p w14:paraId="4A18D0D6" w14:textId="7941D3ED" w:rsidR="00B13244" w:rsidRPr="00D5509E" w:rsidRDefault="009237FC" w:rsidP="00EE08AE">
            <w:pPr>
              <w:pStyle w:val="a7"/>
              <w:numPr>
                <w:ilvl w:val="1"/>
                <w:numId w:val="17"/>
              </w:numPr>
              <w:spacing w:after="0" w:line="240" w:lineRule="auto"/>
              <w:jc w:val="both"/>
              <w:rPr>
                <w:rFonts w:ascii="Times New Roman" w:hAnsi="Times New Roman" w:cs="Times New Roman"/>
                <w:b/>
                <w:bCs/>
                <w:sz w:val="22"/>
                <w:szCs w:val="22"/>
                <w:lang w:val="ky-KG"/>
              </w:rPr>
            </w:pPr>
            <w:r w:rsidRPr="00D5509E">
              <w:rPr>
                <w:rFonts w:ascii="Times New Roman" w:hAnsi="Times New Roman" w:cs="Times New Roman"/>
                <w:b/>
                <w:bCs/>
                <w:sz w:val="22"/>
                <w:szCs w:val="22"/>
              </w:rPr>
              <w:t>Underground development</w:t>
            </w:r>
          </w:p>
          <w:p w14:paraId="35106CF9" w14:textId="77777777" w:rsidR="00B13244" w:rsidRPr="00D5509E" w:rsidRDefault="00B13244" w:rsidP="005330DF">
            <w:pPr>
              <w:pStyle w:val="a7"/>
              <w:jc w:val="both"/>
              <w:rPr>
                <w:rFonts w:ascii="Times New Roman" w:hAnsi="Times New Roman" w:cs="Times New Roman"/>
                <w:b/>
                <w:bCs/>
                <w:sz w:val="22"/>
                <w:szCs w:val="22"/>
                <w:lang w:val="ky-KG"/>
              </w:rPr>
            </w:pPr>
          </w:p>
          <w:p w14:paraId="43F227F6" w14:textId="3F6E97C4" w:rsidR="0066057C" w:rsidRPr="00D5509E" w:rsidRDefault="000A13F9" w:rsidP="005330DF">
            <w:pPr>
              <w:jc w:val="both"/>
              <w:rPr>
                <w:rFonts w:ascii="Times New Roman" w:hAnsi="Times New Roman" w:cs="Times New Roman"/>
                <w:sz w:val="22"/>
                <w:szCs w:val="22"/>
              </w:rPr>
            </w:pPr>
            <w:r w:rsidRPr="00D5509E">
              <w:rPr>
                <w:rFonts w:ascii="Times New Roman" w:hAnsi="Times New Roman" w:cs="Times New Roman"/>
                <w:sz w:val="22"/>
                <w:szCs w:val="22"/>
              </w:rPr>
              <w:t>Development of reserves beyond the open pit represents a transition from the existing long-term open-pit gold mining operation to underground mining. Thus, the baseline against which the environmental impacts of the proposed underground expansion are assessed is the current mining activity within the existing, modified environment.</w:t>
            </w:r>
          </w:p>
          <w:p w14:paraId="52314E05" w14:textId="4DD269B1" w:rsidR="00B13244" w:rsidRPr="00D5509E" w:rsidRDefault="007633E2" w:rsidP="007633E2">
            <w:pPr>
              <w:jc w:val="both"/>
              <w:rPr>
                <w:rFonts w:ascii="Times New Roman" w:hAnsi="Times New Roman" w:cs="Times New Roman"/>
                <w:sz w:val="22"/>
                <w:szCs w:val="22"/>
              </w:rPr>
            </w:pPr>
            <w:r w:rsidRPr="00D5509E">
              <w:rPr>
                <w:rFonts w:ascii="Times New Roman" w:hAnsi="Times New Roman" w:cs="Times New Roman"/>
                <w:sz w:val="22"/>
                <w:szCs w:val="22"/>
              </w:rPr>
              <w:t xml:space="preserve">Due to the isolated location of the Kumtor mine, remote from populated areas, and the extensive area of existing open-pit developments, the likelihood that the proposed underground operations will result in significant additional environmental impacts is limited. Closure of the </w:t>
            </w:r>
            <w:r w:rsidR="004D736C" w:rsidRPr="00D5509E">
              <w:rPr>
                <w:rFonts w:ascii="Times New Roman" w:hAnsi="Times New Roman" w:cs="Times New Roman"/>
                <w:sz w:val="22"/>
                <w:szCs w:val="22"/>
              </w:rPr>
              <w:t>mine</w:t>
            </w:r>
            <w:r w:rsidRPr="00D5509E">
              <w:rPr>
                <w:rFonts w:ascii="Times New Roman" w:hAnsi="Times New Roman" w:cs="Times New Roman"/>
                <w:sz w:val="22"/>
                <w:szCs w:val="22"/>
              </w:rPr>
              <w:t xml:space="preserve"> presents a complex challenge due to the ongoing subsidence and downslope movement of waste rock dumps within the valley. However, the proposed underground operations will not generate significant volumes of waste rock requiring permanent surface disposal and, therefore, will not exacerbate this issue.</w:t>
            </w:r>
            <w:r w:rsidR="004D736C"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Extending </w:t>
            </w:r>
            <w:r w:rsidR="004D736C" w:rsidRPr="00D5509E">
              <w:rPr>
                <w:rFonts w:ascii="Times New Roman" w:hAnsi="Times New Roman" w:cs="Times New Roman"/>
                <w:sz w:val="22"/>
                <w:szCs w:val="22"/>
              </w:rPr>
              <w:t>mine</w:t>
            </w:r>
            <w:r w:rsidRPr="00D5509E">
              <w:rPr>
                <w:rFonts w:ascii="Times New Roman" w:hAnsi="Times New Roman" w:cs="Times New Roman"/>
                <w:sz w:val="22"/>
                <w:szCs w:val="22"/>
              </w:rPr>
              <w:t xml:space="preserve"> life through the development of reserves beyond the open pit is expected to have highly positive social and economic impacts. These benefits include continued employment and business opportunities, the continuation of community engagement programs, and the overall contribution of the mine to the economy of the Kyrgyz Republic.</w:t>
            </w:r>
          </w:p>
          <w:p w14:paraId="488AED2F" w14:textId="77777777" w:rsidR="00B13244" w:rsidRPr="00D5509E" w:rsidRDefault="00B13244" w:rsidP="005330DF">
            <w:pPr>
              <w:jc w:val="both"/>
              <w:rPr>
                <w:rFonts w:ascii="Times New Roman" w:hAnsi="Times New Roman" w:cs="Times New Roman"/>
                <w:sz w:val="22"/>
                <w:szCs w:val="22"/>
                <w:lang w:val="ky-KG"/>
              </w:rPr>
            </w:pPr>
          </w:p>
          <w:p w14:paraId="14B9F5F9" w14:textId="07CBE6F3" w:rsidR="00B13244" w:rsidRPr="00D5509E" w:rsidRDefault="007B273E" w:rsidP="00EE08AE">
            <w:pPr>
              <w:pStyle w:val="a7"/>
              <w:numPr>
                <w:ilvl w:val="1"/>
                <w:numId w:val="17"/>
              </w:numPr>
              <w:spacing w:after="0" w:line="240" w:lineRule="auto"/>
              <w:jc w:val="both"/>
              <w:rPr>
                <w:rFonts w:ascii="Times New Roman" w:hAnsi="Times New Roman" w:cs="Times New Roman"/>
                <w:b/>
                <w:sz w:val="22"/>
                <w:szCs w:val="22"/>
                <w:lang w:val="ky-KG"/>
              </w:rPr>
            </w:pPr>
            <w:r w:rsidRPr="00D5509E">
              <w:rPr>
                <w:rFonts w:ascii="Times New Roman" w:hAnsi="Times New Roman" w:cs="Times New Roman"/>
                <w:b/>
                <w:sz w:val="22"/>
                <w:szCs w:val="22"/>
                <w:lang w:val="ky-KG"/>
              </w:rPr>
              <w:t>Water Quality Forecasts After Mine Closure</w:t>
            </w:r>
            <w:r w:rsidR="00B13244" w:rsidRPr="00D5509E">
              <w:rPr>
                <w:rFonts w:ascii="Times New Roman" w:hAnsi="Times New Roman" w:cs="Times New Roman"/>
                <w:b/>
                <w:sz w:val="22"/>
                <w:szCs w:val="22"/>
                <w:lang w:val="ky-KG"/>
              </w:rPr>
              <w:t xml:space="preserve"> </w:t>
            </w:r>
          </w:p>
          <w:p w14:paraId="3D1E1964" w14:textId="77777777" w:rsidR="00B13244" w:rsidRPr="00D5509E" w:rsidRDefault="00B13244" w:rsidP="005330DF">
            <w:pPr>
              <w:jc w:val="both"/>
              <w:rPr>
                <w:rFonts w:ascii="Times New Roman" w:hAnsi="Times New Roman" w:cs="Times New Roman"/>
                <w:b/>
                <w:sz w:val="22"/>
                <w:szCs w:val="22"/>
                <w:lang w:val="ky-KG"/>
              </w:rPr>
            </w:pPr>
          </w:p>
          <w:p w14:paraId="46C0D331" w14:textId="54714A25" w:rsidR="00B13244" w:rsidRPr="00D5509E" w:rsidRDefault="00841ACD" w:rsidP="00841ACD">
            <w:pPr>
              <w:pStyle w:val="af6"/>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Successful mine closure requires compliance with regulatory water quality criteria at the compliance point located downstream (W1.5.1) on the Kumtor River, immediately beyond the concession boundary. Due to its specific location, monitoring point W1.5.1 integrates all potentially mine-related discharges and is considered the end of the mixing zone (EMZ) for all Kumtor impacts. Water quality criteria for KGC are defined by the Hygienic Standards “Maximum Allowable Concentrations (MAC) of chemical </w:t>
            </w:r>
            <w:r w:rsidRPr="00D5509E">
              <w:rPr>
                <w:rFonts w:ascii="Times New Roman" w:hAnsi="Times New Roman" w:cs="Times New Roman"/>
                <w:sz w:val="22"/>
                <w:szCs w:val="22"/>
              </w:rPr>
              <w:lastRenderedPageBreak/>
              <w:t>substances in water of water bodies for drinking and domestic use,” approved by</w:t>
            </w:r>
            <w:r w:rsidR="00CA36C6"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the </w:t>
            </w:r>
            <w:r w:rsidR="00CA36C6" w:rsidRPr="00D5509E">
              <w:rPr>
                <w:rFonts w:ascii="Times New Roman" w:hAnsi="Times New Roman" w:cs="Times New Roman"/>
                <w:sz w:val="22"/>
                <w:szCs w:val="22"/>
              </w:rPr>
              <w:t xml:space="preserve">Kyrgyz Republic </w:t>
            </w:r>
            <w:r w:rsidRPr="00D5509E">
              <w:rPr>
                <w:rFonts w:ascii="Times New Roman" w:hAnsi="Times New Roman" w:cs="Times New Roman"/>
                <w:sz w:val="22"/>
                <w:szCs w:val="22"/>
              </w:rPr>
              <w:t xml:space="preserve">Government </w:t>
            </w:r>
            <w:r w:rsidR="00CA36C6" w:rsidRPr="00D5509E">
              <w:rPr>
                <w:rFonts w:ascii="Times New Roman" w:hAnsi="Times New Roman" w:cs="Times New Roman"/>
                <w:sz w:val="22"/>
                <w:szCs w:val="22"/>
              </w:rPr>
              <w:t>Decree #</w:t>
            </w:r>
            <w:r w:rsidRPr="00D5509E">
              <w:rPr>
                <w:rFonts w:ascii="Times New Roman" w:hAnsi="Times New Roman" w:cs="Times New Roman"/>
                <w:sz w:val="22"/>
                <w:szCs w:val="22"/>
              </w:rPr>
              <w:t>201 dated April 11, 2016.</w:t>
            </w:r>
          </w:p>
          <w:p w14:paraId="6E72CBAD" w14:textId="01CC0F8A" w:rsidR="00B13244" w:rsidRPr="00D5509E" w:rsidRDefault="00711118" w:rsidP="00711118">
            <w:pPr>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In 2015, a detailed risk assessment was conducted to quantify the potential impacts on the environment and human health resulting from routine discharges into the environment from current, future, and post-closure sources, as well as emissions resulting from short-term </w:t>
            </w:r>
            <w:r w:rsidRPr="00D5509E">
              <w:rPr>
                <w:rFonts w:ascii="Times New Roman" w:hAnsi="Times New Roman" w:cs="Times New Roman"/>
                <w:sz w:val="22"/>
                <w:szCs w:val="22"/>
                <w:lang w:val="ru"/>
              </w:rPr>
              <w:t>аварий</w:t>
            </w:r>
            <w:r w:rsidRPr="00D5509E">
              <w:rPr>
                <w:rFonts w:ascii="Times New Roman" w:hAnsi="Times New Roman" w:cs="Times New Roman"/>
                <w:sz w:val="22"/>
                <w:szCs w:val="22"/>
              </w:rPr>
              <w:t xml:space="preserve"> at KGC. Potential impacts were evaluated for various chemical substances of concern at monitoring point W1.5.1, 40 km downstream, and in the city of Naryn, approximately 230 km downstream from KGC. The Consultant shall consider the results of this study when developing appropriate mine water closure strategies and potential treatment systems to ensure achievement of final land use objectives and water quality criteria.</w:t>
            </w:r>
          </w:p>
          <w:p w14:paraId="28B82AA2" w14:textId="15B74BB9" w:rsidR="00B13244" w:rsidRPr="00D5509E" w:rsidRDefault="004A3AFF" w:rsidP="00EE08AE">
            <w:pPr>
              <w:pStyle w:val="a7"/>
              <w:numPr>
                <w:ilvl w:val="1"/>
                <w:numId w:val="17"/>
              </w:numPr>
              <w:spacing w:line="259" w:lineRule="auto"/>
              <w:jc w:val="both"/>
              <w:rPr>
                <w:rFonts w:ascii="Times New Roman" w:hAnsi="Times New Roman" w:cs="Times New Roman"/>
                <w:b/>
                <w:sz w:val="22"/>
                <w:szCs w:val="22"/>
              </w:rPr>
            </w:pPr>
            <w:r w:rsidRPr="00D5509E">
              <w:rPr>
                <w:rFonts w:ascii="Times New Roman" w:hAnsi="Times New Roman" w:cs="Times New Roman"/>
                <w:b/>
                <w:sz w:val="22"/>
                <w:szCs w:val="22"/>
              </w:rPr>
              <w:t>Flooding Risk from Potential Outburst of Petrov Lake (GLOF)</w:t>
            </w:r>
          </w:p>
          <w:p w14:paraId="3C484399" w14:textId="17B1DD28" w:rsidR="00B13244" w:rsidRPr="00D5509E" w:rsidRDefault="00A6348C" w:rsidP="00D44F0D">
            <w:pPr>
              <w:spacing w:line="259" w:lineRule="auto"/>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KGC </w:t>
            </w:r>
            <w:r w:rsidR="009D104A" w:rsidRPr="00D5509E">
              <w:rPr>
                <w:rFonts w:ascii="Times New Roman" w:hAnsi="Times New Roman" w:cs="Times New Roman"/>
                <w:sz w:val="22"/>
                <w:szCs w:val="22"/>
              </w:rPr>
              <w:t>takes</w:t>
            </w:r>
            <w:r w:rsidRPr="00D5509E">
              <w:rPr>
                <w:rFonts w:ascii="Times New Roman" w:hAnsi="Times New Roman" w:cs="Times New Roman"/>
                <w:sz w:val="22"/>
                <w:szCs w:val="22"/>
              </w:rPr>
              <w:t xml:space="preserve"> fresh water from Petrov Lake — a lake with a natural moraine dam located within the concession area of KGC and upstream of certain mine facilities. Various studies have identified a potential risk of flooding resulting from a glacial lake outburst flood (GLOF) in the event of failure of the moraine dam, particularly after mine closure when warming conditions may lead to partial thawing of the dam structure.</w:t>
            </w:r>
            <w:r w:rsidR="009D104A" w:rsidRPr="00D5509E">
              <w:rPr>
                <w:rFonts w:ascii="Times New Roman" w:hAnsi="Times New Roman" w:cs="Times New Roman"/>
                <w:sz w:val="22"/>
                <w:szCs w:val="22"/>
              </w:rPr>
              <w:t xml:space="preserve"> </w:t>
            </w:r>
            <w:r w:rsidRPr="00D5509E">
              <w:rPr>
                <w:rFonts w:ascii="Times New Roman" w:hAnsi="Times New Roman" w:cs="Times New Roman"/>
                <w:sz w:val="22"/>
                <w:szCs w:val="22"/>
              </w:rPr>
              <w:t>In recent years, studies have been carried out to assess potential failure mechanisms of the dam, flood consequences, monitoring requirements, and possible mitigation strategies.</w:t>
            </w:r>
            <w:r w:rsidR="00D44F0D" w:rsidRPr="00D5509E">
              <w:rPr>
                <w:rFonts w:ascii="Times New Roman" w:hAnsi="Times New Roman" w:cs="Times New Roman"/>
                <w:sz w:val="22"/>
                <w:szCs w:val="22"/>
              </w:rPr>
              <w:t xml:space="preserve"> </w:t>
            </w:r>
            <w:r w:rsidRPr="00D5509E">
              <w:rPr>
                <w:rFonts w:ascii="Times New Roman" w:hAnsi="Times New Roman" w:cs="Times New Roman"/>
                <w:sz w:val="22"/>
                <w:szCs w:val="22"/>
              </w:rPr>
              <w:t>The 2026 Mine Closure Plan shall:</w:t>
            </w:r>
            <w:r w:rsidR="00B13244" w:rsidRPr="00D5509E">
              <w:rPr>
                <w:rFonts w:ascii="Times New Roman" w:hAnsi="Times New Roman" w:cs="Times New Roman"/>
                <w:sz w:val="22"/>
                <w:szCs w:val="22"/>
              </w:rPr>
              <w:t xml:space="preserve"> </w:t>
            </w:r>
          </w:p>
          <w:p w14:paraId="3B5607A5" w14:textId="6A63453E" w:rsidR="00B13244" w:rsidRPr="00D5509E" w:rsidRDefault="00912189" w:rsidP="00EE08AE">
            <w:pPr>
              <w:pStyle w:val="a7"/>
              <w:numPr>
                <w:ilvl w:val="0"/>
                <w:numId w:val="18"/>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Assess the environmental consequences of a potential outburst following mine closure;</w:t>
            </w:r>
          </w:p>
          <w:p w14:paraId="6E700E38" w14:textId="67AF6DD7" w:rsidR="00B13244" w:rsidRPr="00D5509E" w:rsidRDefault="00912189" w:rsidP="00EE08AE">
            <w:pPr>
              <w:pStyle w:val="a7"/>
              <w:numPr>
                <w:ilvl w:val="0"/>
                <w:numId w:val="18"/>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Propose engineering and environmental measures to mitigate risks;</w:t>
            </w:r>
          </w:p>
          <w:p w14:paraId="5BDE6CE8" w14:textId="78421BD8" w:rsidR="00B13244" w:rsidRPr="00D5509E" w:rsidRDefault="00912189" w:rsidP="00EE08AE">
            <w:pPr>
              <w:pStyle w:val="a7"/>
              <w:numPr>
                <w:ilvl w:val="0"/>
                <w:numId w:val="18"/>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Include monitoring requirements for the natural moraine dam;</w:t>
            </w:r>
          </w:p>
          <w:p w14:paraId="7F04F624" w14:textId="2120A416" w:rsidR="00B13244" w:rsidRPr="00D5509E" w:rsidRDefault="00114E55" w:rsidP="00EE08AE">
            <w:pPr>
              <w:pStyle w:val="a7"/>
              <w:numPr>
                <w:ilvl w:val="0"/>
                <w:numId w:val="18"/>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Consider impacts on the ecosystems of the Kumtor River and its tributaries;</w:t>
            </w:r>
          </w:p>
          <w:p w14:paraId="7C63B890" w14:textId="779EC60C" w:rsidR="00B13244" w:rsidRPr="00D5509E" w:rsidRDefault="00114E55" w:rsidP="00EE08AE">
            <w:pPr>
              <w:pStyle w:val="a7"/>
              <w:numPr>
                <w:ilvl w:val="0"/>
                <w:numId w:val="18"/>
              </w:numPr>
              <w:spacing w:after="0" w:line="259" w:lineRule="auto"/>
              <w:jc w:val="both"/>
              <w:rPr>
                <w:rFonts w:ascii="Times New Roman" w:hAnsi="Times New Roman" w:cs="Times New Roman"/>
                <w:sz w:val="22"/>
                <w:szCs w:val="22"/>
              </w:rPr>
            </w:pPr>
            <w:r w:rsidRPr="00D5509E">
              <w:rPr>
                <w:rFonts w:ascii="Times New Roman" w:hAnsi="Times New Roman" w:cs="Times New Roman"/>
                <w:sz w:val="22"/>
                <w:szCs w:val="22"/>
              </w:rPr>
              <w:t>Include cost estimates for GLOF risk mitigation after mine closure.</w:t>
            </w:r>
          </w:p>
          <w:p w14:paraId="18AC6553" w14:textId="77777777" w:rsidR="00B13244" w:rsidRPr="00D5509E" w:rsidRDefault="00B13244" w:rsidP="005330DF">
            <w:pPr>
              <w:pStyle w:val="a7"/>
              <w:spacing w:line="259" w:lineRule="auto"/>
              <w:ind w:left="785"/>
              <w:jc w:val="both"/>
              <w:rPr>
                <w:rFonts w:ascii="Times New Roman" w:hAnsi="Times New Roman" w:cs="Times New Roman"/>
                <w:sz w:val="22"/>
                <w:szCs w:val="22"/>
              </w:rPr>
            </w:pPr>
          </w:p>
          <w:p w14:paraId="28B7E21E" w14:textId="35A26325" w:rsidR="00B13244" w:rsidRPr="00D5509E" w:rsidRDefault="0006212C" w:rsidP="00EE08AE">
            <w:pPr>
              <w:pStyle w:val="a7"/>
              <w:numPr>
                <w:ilvl w:val="1"/>
                <w:numId w:val="17"/>
              </w:numPr>
              <w:spacing w:line="259" w:lineRule="auto"/>
              <w:ind w:left="617" w:hanging="257"/>
              <w:rPr>
                <w:rFonts w:ascii="Times New Roman" w:hAnsi="Times New Roman" w:cs="Times New Roman"/>
                <w:b/>
                <w:sz w:val="22"/>
                <w:szCs w:val="22"/>
              </w:rPr>
            </w:pPr>
            <w:r w:rsidRPr="00D5509E">
              <w:rPr>
                <w:rFonts w:ascii="Times New Roman" w:hAnsi="Times New Roman" w:cs="Times New Roman"/>
                <w:b/>
                <w:sz w:val="22"/>
                <w:szCs w:val="22"/>
              </w:rPr>
              <w:t>Assessment of Social Impacts of Mine Closure</w:t>
            </w:r>
          </w:p>
          <w:p w14:paraId="316A5EE2" w14:textId="2E4BFBDB" w:rsidR="00B13244" w:rsidRPr="00D5509E" w:rsidRDefault="009B03BD" w:rsidP="00B9723A">
            <w:pPr>
              <w:spacing w:line="259" w:lineRule="auto"/>
              <w:ind w:firstLine="720"/>
              <w:jc w:val="both"/>
              <w:rPr>
                <w:rFonts w:ascii="Times New Roman" w:hAnsi="Times New Roman" w:cs="Times New Roman"/>
                <w:sz w:val="22"/>
                <w:szCs w:val="22"/>
              </w:rPr>
            </w:pPr>
            <w:r w:rsidRPr="00D5509E">
              <w:rPr>
                <w:rFonts w:ascii="Times New Roman" w:hAnsi="Times New Roman" w:cs="Times New Roman"/>
                <w:sz w:val="22"/>
                <w:szCs w:val="22"/>
              </w:rPr>
              <w:t>KGC, as the largest private-sector employer of Kyrgyz Republic citizens and a major contributor to the country’s GDP, plays a significant role in the economic and political life of the Kyrgyz Republic, particularly in the Issyk-Kul Region. Therefore, KGC aims to identify and mitigate potential economic and social impacts on local communities arising from the cessation of its operations.</w:t>
            </w:r>
            <w:r w:rsidR="00B9723A" w:rsidRPr="00D5509E">
              <w:rPr>
                <w:rFonts w:ascii="Times New Roman" w:hAnsi="Times New Roman" w:cs="Times New Roman"/>
                <w:sz w:val="22"/>
                <w:szCs w:val="22"/>
              </w:rPr>
              <w:t xml:space="preserve"> </w:t>
            </w:r>
            <w:r w:rsidRPr="00D5509E">
              <w:rPr>
                <w:rFonts w:ascii="Times New Roman" w:hAnsi="Times New Roman" w:cs="Times New Roman"/>
                <w:sz w:val="22"/>
                <w:szCs w:val="22"/>
              </w:rPr>
              <w:t>The ultimate objective of this component of the 2026 Mine Closure Plan is to identify and mitigate adverse social impacts associated with the closure of KGC operations, as well as to identify opportunities for achieving sustainable socio-economic benefits after closure.</w:t>
            </w:r>
          </w:p>
          <w:p w14:paraId="58C6D09A" w14:textId="159E7F5C" w:rsidR="00B13244" w:rsidRPr="00D5509E" w:rsidRDefault="00FF1987" w:rsidP="00FF1987">
            <w:pPr>
              <w:spacing w:line="259" w:lineRule="auto"/>
              <w:ind w:firstLine="360"/>
              <w:jc w:val="both"/>
              <w:rPr>
                <w:rFonts w:ascii="Times New Roman" w:hAnsi="Times New Roman" w:cs="Times New Roman"/>
                <w:sz w:val="22"/>
                <w:szCs w:val="22"/>
              </w:rPr>
            </w:pPr>
            <w:r w:rsidRPr="00D5509E">
              <w:rPr>
                <w:rFonts w:ascii="Times New Roman" w:hAnsi="Times New Roman" w:cs="Times New Roman"/>
                <w:sz w:val="22"/>
                <w:szCs w:val="22"/>
              </w:rPr>
              <w:t xml:space="preserve">It is important that the Consultant adopts a consultative assessment process that can be used to guide the overall closure planning process in accordance with the legal requirements of the Kyrgyz Republic and international best practice (GIIP) guidelines. The assessment should focus on the “sustainability” of local communities in maintaining net positive benefits </w:t>
            </w:r>
            <w:r w:rsidRPr="00D5509E">
              <w:rPr>
                <w:rFonts w:ascii="Times New Roman" w:hAnsi="Times New Roman" w:cs="Times New Roman"/>
                <w:sz w:val="22"/>
                <w:szCs w:val="22"/>
              </w:rPr>
              <w:lastRenderedPageBreak/>
              <w:t>from economic activity and identifying alternative livelihoods to replace any direct or indirect social or economic dependence on KGC. Key components of the assessment include:</w:t>
            </w:r>
          </w:p>
          <w:p w14:paraId="5E3D8F3E" w14:textId="56375A9D" w:rsidR="00B13244" w:rsidRPr="00D5509E" w:rsidRDefault="00DB5221" w:rsidP="00233417">
            <w:pPr>
              <w:numPr>
                <w:ilvl w:val="0"/>
                <w:numId w:val="20"/>
              </w:numPr>
              <w:spacing w:line="259" w:lineRule="auto"/>
              <w:contextualSpacing/>
              <w:jc w:val="both"/>
              <w:rPr>
                <w:rFonts w:ascii="Times New Roman" w:hAnsi="Times New Roman" w:cs="Times New Roman"/>
                <w:sz w:val="22"/>
                <w:szCs w:val="22"/>
              </w:rPr>
            </w:pPr>
            <w:r w:rsidRPr="00D5509E">
              <w:rPr>
                <w:rFonts w:ascii="Times New Roman" w:hAnsi="Times New Roman" w:cs="Times New Roman"/>
                <w:b/>
                <w:sz w:val="22"/>
                <w:szCs w:val="22"/>
              </w:rPr>
              <w:t>Stakeholder Engagement</w:t>
            </w:r>
            <w:r w:rsidR="00B13244" w:rsidRPr="00D5509E">
              <w:rPr>
                <w:rFonts w:ascii="Times New Roman" w:hAnsi="Times New Roman" w:cs="Times New Roman"/>
                <w:b/>
                <w:sz w:val="22"/>
                <w:szCs w:val="22"/>
              </w:rPr>
              <w:t>.</w:t>
            </w:r>
            <w:r w:rsidR="00B13244" w:rsidRPr="00D5509E">
              <w:rPr>
                <w:rFonts w:ascii="Times New Roman" w:hAnsi="Times New Roman" w:cs="Times New Roman"/>
                <w:sz w:val="22"/>
                <w:szCs w:val="22"/>
              </w:rPr>
              <w:t xml:space="preserve"> </w:t>
            </w:r>
            <w:r w:rsidR="00A2401D" w:rsidRPr="00D5509E">
              <w:rPr>
                <w:rFonts w:ascii="Times New Roman" w:hAnsi="Times New Roman" w:cs="Times New Roman"/>
                <w:sz w:val="22"/>
                <w:szCs w:val="22"/>
              </w:rPr>
              <w:t>Consistent and transparent engagement with stakeholders, along with proactive expectation management, is central to successful mine closure planning. The Consultant shall work closely with relevant departments to understand current perceptions, concerns, impacts, risks, and opportunities related to the existing mine closure strategy. Any engagement shall be aligned with and fully complement KGC’s existing stakeholder engagement processes. The process shall ensure that stakeholders are provided with sufficient and accessible information to enable them to raise concerns and submit proposals regarding reclamation and mine closure. It shall confirm that stakeholder issues are properly recorded; assist in identifying reasonable alternatives; incorporate relevant local information and traditional knowledge into the closure planning process; and provide stakeholders with opportunities to comment on the overall reclamation and closure strategy.</w:t>
            </w:r>
            <w:r w:rsidR="00233417" w:rsidRPr="00D5509E">
              <w:rPr>
                <w:rFonts w:ascii="Times New Roman" w:hAnsi="Times New Roman" w:cs="Times New Roman"/>
                <w:sz w:val="22"/>
                <w:szCs w:val="22"/>
              </w:rPr>
              <w:t xml:space="preserve"> </w:t>
            </w:r>
            <w:r w:rsidR="00A2401D" w:rsidRPr="00D5509E">
              <w:rPr>
                <w:rFonts w:ascii="Times New Roman" w:hAnsi="Times New Roman" w:cs="Times New Roman"/>
                <w:sz w:val="22"/>
                <w:szCs w:val="22"/>
              </w:rPr>
              <w:t>The process shall also include discussion of KGC’s mine closure objectives (including socio-economic goals), final land use options, and success criteria.</w:t>
            </w:r>
          </w:p>
          <w:p w14:paraId="7AAD1B8E" w14:textId="77777777" w:rsidR="00B13244" w:rsidRPr="00D5509E" w:rsidRDefault="00B13244" w:rsidP="005330DF">
            <w:pPr>
              <w:spacing w:line="259" w:lineRule="auto"/>
              <w:ind w:left="360"/>
              <w:contextualSpacing/>
              <w:jc w:val="both"/>
              <w:rPr>
                <w:rFonts w:ascii="Times New Roman" w:hAnsi="Times New Roman" w:cs="Times New Roman"/>
                <w:sz w:val="22"/>
                <w:szCs w:val="22"/>
              </w:rPr>
            </w:pPr>
          </w:p>
          <w:p w14:paraId="5E071537" w14:textId="4C1DEF5A" w:rsidR="00B13244" w:rsidRPr="00D5509E" w:rsidRDefault="00027F9D" w:rsidP="00634DEF">
            <w:pPr>
              <w:numPr>
                <w:ilvl w:val="0"/>
                <w:numId w:val="20"/>
              </w:numPr>
              <w:spacing w:line="259" w:lineRule="auto"/>
              <w:contextualSpacing/>
              <w:jc w:val="both"/>
              <w:rPr>
                <w:rFonts w:ascii="Times New Roman" w:hAnsi="Times New Roman" w:cs="Times New Roman"/>
                <w:sz w:val="22"/>
                <w:szCs w:val="22"/>
              </w:rPr>
            </w:pPr>
            <w:r w:rsidRPr="00D5509E">
              <w:rPr>
                <w:rFonts w:ascii="Times New Roman" w:hAnsi="Times New Roman" w:cs="Times New Roman"/>
                <w:b/>
                <w:sz w:val="22"/>
                <w:szCs w:val="22"/>
              </w:rPr>
              <w:t>Impact Assessment</w:t>
            </w:r>
            <w:r w:rsidR="00B13244" w:rsidRPr="00D5509E">
              <w:rPr>
                <w:rFonts w:ascii="Times New Roman" w:hAnsi="Times New Roman" w:cs="Times New Roman"/>
                <w:b/>
                <w:sz w:val="22"/>
                <w:szCs w:val="22"/>
              </w:rPr>
              <w:t>.</w:t>
            </w:r>
            <w:r w:rsidR="00B13244" w:rsidRPr="00D5509E">
              <w:rPr>
                <w:rFonts w:ascii="Times New Roman" w:hAnsi="Times New Roman" w:cs="Times New Roman"/>
                <w:sz w:val="22"/>
                <w:szCs w:val="22"/>
              </w:rPr>
              <w:t xml:space="preserve"> </w:t>
            </w:r>
            <w:r w:rsidR="00E87593" w:rsidRPr="00D5509E">
              <w:rPr>
                <w:rFonts w:ascii="Times New Roman" w:hAnsi="Times New Roman" w:cs="Times New Roman"/>
                <w:sz w:val="22"/>
                <w:szCs w:val="22"/>
              </w:rPr>
              <w:t>In 2019, KGC initiated a socio-economic baseline study in the Issyk-Kul Region. The purpose of the study was to take the first step toward developing a more comprehensive understanding of current socio-economic trends and development challenges in the Issyk-Kul Region and to determine how they relate to the broader national context.</w:t>
            </w:r>
            <w:r w:rsidR="00634DEF" w:rsidRPr="00D5509E">
              <w:rPr>
                <w:rFonts w:ascii="Times New Roman" w:hAnsi="Times New Roman" w:cs="Times New Roman"/>
                <w:sz w:val="22"/>
                <w:szCs w:val="22"/>
              </w:rPr>
              <w:t xml:space="preserve"> </w:t>
            </w:r>
            <w:r w:rsidR="00E87593" w:rsidRPr="00D5509E">
              <w:rPr>
                <w:rFonts w:ascii="Times New Roman" w:hAnsi="Times New Roman" w:cs="Times New Roman"/>
                <w:sz w:val="22"/>
                <w:szCs w:val="22"/>
              </w:rPr>
              <w:t>As part of the 2026 Mine Closure Plan, the Consultant shall use this study to provide a basis for assessing KGC’s overall contribution to local, regional, and national development, as well as the likely impacts of mine closure on affected local communities. The assessment shall include:</w:t>
            </w:r>
          </w:p>
          <w:p w14:paraId="50C5B7EB" w14:textId="67BCCD22" w:rsidR="00B13244" w:rsidRPr="00D5509E" w:rsidRDefault="00716C09" w:rsidP="00EE08AE">
            <w:pPr>
              <w:numPr>
                <w:ilvl w:val="0"/>
                <w:numId w:val="19"/>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Economic environment (economic vulnerability, identification of vulnerable groups, including women, youth, and the elderly; employment; economic development; agriculture; business and entrepreneurship development; competition for economic resources; infrastructure; etc.);</w:t>
            </w:r>
          </w:p>
          <w:p w14:paraId="4C2DA383" w14:textId="0805CC9F" w:rsidR="00B13244" w:rsidRPr="00D5509E" w:rsidRDefault="00FD6731" w:rsidP="00EE08AE">
            <w:pPr>
              <w:numPr>
                <w:ilvl w:val="0"/>
                <w:numId w:val="19"/>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Sustainability of infrastructure and services for local communities (water supply, healthcare, education, roads, transport, transfer of responsibility for service provision, etc.);</w:t>
            </w:r>
          </w:p>
          <w:p w14:paraId="0DE6BD12" w14:textId="29105C3F" w:rsidR="00B13244" w:rsidRPr="00D5509E" w:rsidRDefault="00FD6731" w:rsidP="00EE08AE">
            <w:pPr>
              <w:numPr>
                <w:ilvl w:val="0"/>
                <w:numId w:val="19"/>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Social environment (social well-being, social change, population displacement, community cohesion, and social conflicts);</w:t>
            </w:r>
          </w:p>
          <w:p w14:paraId="67F02544" w14:textId="63345D47" w:rsidR="00B13244" w:rsidRPr="00D5509E" w:rsidRDefault="00152437" w:rsidP="00EE08AE">
            <w:pPr>
              <w:numPr>
                <w:ilvl w:val="0"/>
                <w:numId w:val="19"/>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Political and institutional environment (changes and transfer of organizational responsibilities, local governance, resources and capacity, potential institutional gaps, etc.).</w:t>
            </w:r>
          </w:p>
          <w:p w14:paraId="02D297B8" w14:textId="77777777" w:rsidR="00B13244" w:rsidRPr="00D5509E" w:rsidRDefault="00B13244" w:rsidP="005330DF">
            <w:pPr>
              <w:spacing w:line="259" w:lineRule="auto"/>
              <w:ind w:left="360"/>
              <w:contextualSpacing/>
              <w:jc w:val="both"/>
              <w:rPr>
                <w:rFonts w:ascii="Times New Roman" w:hAnsi="Times New Roman" w:cs="Times New Roman"/>
                <w:sz w:val="22"/>
                <w:szCs w:val="22"/>
              </w:rPr>
            </w:pPr>
          </w:p>
          <w:p w14:paraId="6413248A" w14:textId="7DD459CE" w:rsidR="00B13244" w:rsidRPr="00D5509E" w:rsidRDefault="00A02BE0" w:rsidP="00695164">
            <w:pPr>
              <w:numPr>
                <w:ilvl w:val="0"/>
                <w:numId w:val="20"/>
              </w:numPr>
              <w:spacing w:line="259" w:lineRule="auto"/>
              <w:contextualSpacing/>
              <w:jc w:val="both"/>
              <w:rPr>
                <w:rFonts w:ascii="Times New Roman" w:hAnsi="Times New Roman" w:cs="Times New Roman"/>
                <w:sz w:val="22"/>
                <w:szCs w:val="22"/>
              </w:rPr>
            </w:pPr>
            <w:r w:rsidRPr="00D5509E">
              <w:rPr>
                <w:rFonts w:ascii="Times New Roman" w:hAnsi="Times New Roman" w:cs="Times New Roman"/>
                <w:b/>
                <w:sz w:val="22"/>
                <w:szCs w:val="22"/>
              </w:rPr>
              <w:t>Social risk mitigation plans for mine closure</w:t>
            </w:r>
            <w:r w:rsidR="00B13244" w:rsidRPr="00D5509E">
              <w:rPr>
                <w:rFonts w:ascii="Times New Roman" w:hAnsi="Times New Roman" w:cs="Times New Roman"/>
                <w:b/>
                <w:sz w:val="22"/>
                <w:szCs w:val="22"/>
              </w:rPr>
              <w:t xml:space="preserve">. </w:t>
            </w:r>
            <w:r w:rsidR="00695164" w:rsidRPr="00D5509E">
              <w:rPr>
                <w:rFonts w:ascii="Times New Roman" w:hAnsi="Times New Roman" w:cs="Times New Roman"/>
                <w:sz w:val="22"/>
                <w:szCs w:val="22"/>
              </w:rPr>
              <w:t xml:space="preserve">Based on the social impact assessment and KGC’s current sustainable development program (with a focus on youth and SMEs), the Consultant shall work jointly with KGC to identify strategies to minimize the potential negative social impacts associated with mine closure, maximize existing opportunities, and address risks to achieve targeted social outcomes related to closure </w:t>
            </w:r>
            <w:r w:rsidR="00695164" w:rsidRPr="00D5509E">
              <w:rPr>
                <w:rFonts w:ascii="Times New Roman" w:hAnsi="Times New Roman" w:cs="Times New Roman"/>
                <w:sz w:val="22"/>
                <w:szCs w:val="22"/>
              </w:rPr>
              <w:lastRenderedPageBreak/>
              <w:t>and relinquishment of ownership and responsibilities. Appropriate use shall be made of stakeholder input, baseline data, and impact assessments to develop a post-closure social monitoring and mitigation plan aimed at reducing social risks in the context of fulfilling any outstanding social obligations (liabilities). This plan may be used in subsequent versions of the Mine Closure Plan and, ultimately, in the Final Mine Closure Plan.</w:t>
            </w:r>
            <w:r w:rsidR="00B13244" w:rsidRPr="00D5509E">
              <w:rPr>
                <w:rFonts w:ascii="Times New Roman" w:hAnsi="Times New Roman" w:cs="Times New Roman"/>
                <w:sz w:val="22"/>
                <w:szCs w:val="22"/>
              </w:rPr>
              <w:t xml:space="preserve"> </w:t>
            </w:r>
          </w:p>
          <w:p w14:paraId="4D6DB2E7" w14:textId="77777777" w:rsidR="00B13244" w:rsidRPr="00D5509E" w:rsidRDefault="00B13244" w:rsidP="005330DF">
            <w:pPr>
              <w:spacing w:line="259" w:lineRule="auto"/>
              <w:contextualSpacing/>
              <w:jc w:val="both"/>
              <w:rPr>
                <w:rFonts w:ascii="Times New Roman" w:hAnsi="Times New Roman" w:cs="Times New Roman"/>
                <w:b/>
                <w:sz w:val="22"/>
                <w:szCs w:val="22"/>
                <w:lang w:val="ky-KG"/>
              </w:rPr>
            </w:pPr>
          </w:p>
          <w:p w14:paraId="04752090" w14:textId="15FAF779" w:rsidR="00B13244" w:rsidRPr="00D5509E" w:rsidRDefault="00FE5DBD" w:rsidP="00EE08AE">
            <w:pPr>
              <w:pStyle w:val="a7"/>
              <w:numPr>
                <w:ilvl w:val="1"/>
                <w:numId w:val="17"/>
              </w:numPr>
              <w:spacing w:after="0" w:line="240" w:lineRule="auto"/>
              <w:jc w:val="both"/>
              <w:rPr>
                <w:rFonts w:ascii="Times New Roman" w:hAnsi="Times New Roman" w:cs="Times New Roman"/>
                <w:b/>
                <w:sz w:val="22"/>
                <w:szCs w:val="22"/>
                <w:lang w:val="ky-KG"/>
              </w:rPr>
            </w:pPr>
            <w:r w:rsidRPr="00D5509E">
              <w:rPr>
                <w:rFonts w:ascii="Times New Roman" w:hAnsi="Times New Roman" w:cs="Times New Roman"/>
                <w:b/>
                <w:sz w:val="22"/>
                <w:szCs w:val="22"/>
                <w:lang w:val="ky-KG"/>
              </w:rPr>
              <w:t>Post-Closure Monitoring and Maintenance Requirements</w:t>
            </w:r>
          </w:p>
          <w:p w14:paraId="1C6EE338" w14:textId="77777777" w:rsidR="00B13244" w:rsidRPr="00D5509E" w:rsidRDefault="00B13244" w:rsidP="005330DF">
            <w:pPr>
              <w:ind w:left="360"/>
              <w:jc w:val="both"/>
              <w:rPr>
                <w:rFonts w:ascii="Times New Roman" w:hAnsi="Times New Roman" w:cs="Times New Roman"/>
                <w:b/>
                <w:sz w:val="22"/>
                <w:szCs w:val="22"/>
                <w:lang w:val="ky-KG"/>
              </w:rPr>
            </w:pPr>
          </w:p>
          <w:p w14:paraId="650FA9F1" w14:textId="25B4A0F2" w:rsidR="00B13244" w:rsidRPr="00D5509E" w:rsidRDefault="00E851D8" w:rsidP="00E851D8">
            <w:pPr>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The objectives of the post-closure monitoring program are to demonstrate compliance with the environmental laws and regulations of the Kyrgyz Republic, corporate standards, and lender requirements; to confirm the adequacy and effectiveness of mine closure strategies; and to identify areas with unacceptable performance that may require the implementation of mitigation measures. The 2026 Mine Closure Plan shall </w:t>
            </w:r>
            <w:r w:rsidR="00DB0EE5" w:rsidRPr="00D5509E">
              <w:rPr>
                <w:rFonts w:ascii="Times New Roman" w:hAnsi="Times New Roman" w:cs="Times New Roman"/>
                <w:sz w:val="22"/>
                <w:szCs w:val="22"/>
              </w:rPr>
              <w:t>consider</w:t>
            </w:r>
            <w:r w:rsidRPr="00D5509E">
              <w:rPr>
                <w:rFonts w:ascii="Times New Roman" w:hAnsi="Times New Roman" w:cs="Times New Roman"/>
                <w:sz w:val="22"/>
                <w:szCs w:val="22"/>
              </w:rPr>
              <w:t xml:space="preserve"> </w:t>
            </w:r>
            <w:r w:rsidR="00DB0EE5" w:rsidRPr="00D5509E">
              <w:rPr>
                <w:rFonts w:ascii="Times New Roman" w:hAnsi="Times New Roman" w:cs="Times New Roman"/>
                <w:sz w:val="22"/>
                <w:szCs w:val="22"/>
              </w:rPr>
              <w:t>the best international</w:t>
            </w:r>
            <w:r w:rsidRPr="00D5509E">
              <w:rPr>
                <w:rFonts w:ascii="Times New Roman" w:hAnsi="Times New Roman" w:cs="Times New Roman"/>
                <w:sz w:val="22"/>
                <w:szCs w:val="22"/>
              </w:rPr>
              <w:t xml:space="preserve"> practices (GIIP) for relevant monitoring activities and post-closure periods, including the social risk mitigation plan for mine closure discussed above.</w:t>
            </w:r>
          </w:p>
          <w:p w14:paraId="43BC762D" w14:textId="303FB7EF" w:rsidR="00B13244" w:rsidRPr="00D5509E" w:rsidRDefault="00DF3A90" w:rsidP="00EE08AE">
            <w:pPr>
              <w:pStyle w:val="a7"/>
              <w:numPr>
                <w:ilvl w:val="1"/>
                <w:numId w:val="17"/>
              </w:numPr>
              <w:spacing w:after="0" w:line="240" w:lineRule="auto"/>
              <w:jc w:val="both"/>
              <w:rPr>
                <w:rFonts w:ascii="Times New Roman" w:hAnsi="Times New Roman" w:cs="Times New Roman"/>
                <w:b/>
                <w:sz w:val="22"/>
                <w:szCs w:val="22"/>
                <w:lang w:val="ru"/>
              </w:rPr>
            </w:pPr>
            <w:r w:rsidRPr="00D5509E">
              <w:rPr>
                <w:rFonts w:ascii="Times New Roman" w:hAnsi="Times New Roman" w:cs="Times New Roman"/>
                <w:b/>
                <w:sz w:val="22"/>
                <w:szCs w:val="22"/>
                <w:lang w:val="ru"/>
              </w:rPr>
              <w:t>Detailed Mine Closure Cost Estimate</w:t>
            </w:r>
          </w:p>
          <w:p w14:paraId="300E7F1B" w14:textId="77777777" w:rsidR="00B13244" w:rsidRPr="00D5509E" w:rsidRDefault="00B13244" w:rsidP="005330DF">
            <w:pPr>
              <w:ind w:left="360"/>
              <w:jc w:val="both"/>
              <w:rPr>
                <w:rFonts w:ascii="Times New Roman" w:hAnsi="Times New Roman" w:cs="Times New Roman"/>
                <w:b/>
                <w:sz w:val="22"/>
                <w:szCs w:val="22"/>
                <w:lang w:val="ky-KG"/>
              </w:rPr>
            </w:pPr>
          </w:p>
          <w:p w14:paraId="372EF1B8" w14:textId="2069FF46" w:rsidR="00B13244" w:rsidRPr="00D5509E" w:rsidRDefault="00D96CFD" w:rsidP="00D96CFD">
            <w:pPr>
              <w:ind w:firstLine="720"/>
              <w:jc w:val="both"/>
              <w:rPr>
                <w:rFonts w:ascii="Times New Roman" w:hAnsi="Times New Roman" w:cs="Times New Roman"/>
                <w:sz w:val="22"/>
                <w:szCs w:val="22"/>
              </w:rPr>
            </w:pPr>
            <w:r w:rsidRPr="00D5509E">
              <w:rPr>
                <w:rFonts w:ascii="Times New Roman" w:hAnsi="Times New Roman" w:cs="Times New Roman"/>
                <w:sz w:val="22"/>
                <w:szCs w:val="22"/>
              </w:rPr>
              <w:t>The 2026 Mine Closure Plan shall include a detailed cost estimate for mine closure covering all technical aspects of decommissioning and closure of KGC, including cost estimates for mitigation measures, social management, as well as post-closure monitoring and maintenance requirements. Potential salvage value of equipment shall be disregarded in accordance with Good International Industry Practice (GIIP), and costs shall be presented in 2026 US dollars (excluding inflation) at a level of accuracy appropriate for a Conceptual Mine Closure Plan. KGC will annually determine the applicable discount and inflation rates for calculating the corresponding mine closure liability in accordance with International Financial Reporting Standards (IFRS).</w:t>
            </w:r>
          </w:p>
          <w:p w14:paraId="1EFC018D" w14:textId="027586FE" w:rsidR="00B13244" w:rsidRPr="00D5509E" w:rsidRDefault="00850AF3" w:rsidP="0020584C">
            <w:pPr>
              <w:ind w:firstLine="720"/>
              <w:jc w:val="both"/>
              <w:rPr>
                <w:rFonts w:ascii="Times New Roman" w:hAnsi="Times New Roman" w:cs="Times New Roman"/>
                <w:sz w:val="22"/>
                <w:szCs w:val="22"/>
              </w:rPr>
            </w:pPr>
            <w:r w:rsidRPr="00D5509E">
              <w:rPr>
                <w:rFonts w:ascii="Times New Roman" w:hAnsi="Times New Roman" w:cs="Times New Roman"/>
                <w:sz w:val="22"/>
                <w:szCs w:val="22"/>
              </w:rPr>
              <w:t>The Consultant shall use the Standardized Reclamation Cost Estimator (SRCE) model (SRCE | NDEP (nv.gov)), which has been developed to provide a practical tool for estimating closure and reclamation costs. The model standardizes user input requirements, productivity calculations, and volume and area calculations in a consistent format, while maintaining sufficient flexibility to account for site-specific conditions.</w:t>
            </w:r>
            <w:r w:rsidR="0020584C" w:rsidRPr="00D5509E">
              <w:rPr>
                <w:rFonts w:ascii="Times New Roman" w:hAnsi="Times New Roman" w:cs="Times New Roman"/>
                <w:sz w:val="22"/>
                <w:szCs w:val="22"/>
              </w:rPr>
              <w:t xml:space="preserve"> </w:t>
            </w:r>
            <w:r w:rsidRPr="00D5509E">
              <w:rPr>
                <w:rFonts w:ascii="Times New Roman" w:hAnsi="Times New Roman" w:cs="Times New Roman"/>
                <w:sz w:val="22"/>
                <w:szCs w:val="22"/>
              </w:rPr>
              <w:t>Reclamation cost estimates shall be based on work performed by KGC personnel using existing equipment. Unlike many other mining operations, contractor costs at KGC are generally lower than internal costs for many closure-related activities (e.g., earthworks). This is partly due to high-altitude and remote location allowances paid to KGC’s full-time employees.</w:t>
            </w:r>
          </w:p>
          <w:p w14:paraId="44D452AB" w14:textId="7C79D2B7" w:rsidR="00B13244" w:rsidRPr="00D5509E" w:rsidRDefault="009124EC" w:rsidP="009124EC">
            <w:pPr>
              <w:ind w:firstLine="720"/>
              <w:jc w:val="both"/>
              <w:rPr>
                <w:rFonts w:ascii="Times New Roman" w:hAnsi="Times New Roman" w:cs="Times New Roman"/>
                <w:sz w:val="22"/>
                <w:szCs w:val="22"/>
              </w:rPr>
            </w:pPr>
            <w:r w:rsidRPr="00D5509E">
              <w:rPr>
                <w:rFonts w:ascii="Times New Roman" w:hAnsi="Times New Roman" w:cs="Times New Roman"/>
                <w:sz w:val="22"/>
                <w:szCs w:val="22"/>
              </w:rPr>
              <w:t xml:space="preserve">In addition, the Consultant shall include a probabilistic cost analysis, whereby uncertainties in cost estimates (quantities, unit rates, allowances, </w:t>
            </w:r>
            <w:r w:rsidRPr="00D5509E">
              <w:rPr>
                <w:rFonts w:ascii="Times New Roman" w:hAnsi="Times New Roman" w:cs="Times New Roman"/>
                <w:sz w:val="22"/>
                <w:szCs w:val="22"/>
              </w:rPr>
              <w:lastRenderedPageBreak/>
              <w:t>contingencies, etc.) account for using statistical methods (e.g., Monte Carlo simulation). This enables users of the Mine Closure Plan to understand the likelihood of cost overruns and provides a more robust and advanced outcome compared to conventional deterministic cost estimation methods. Uncertainties, costs, and probability distributions used in the probabilistic cost analysis should preferably be determined through workshop(s) involving relevant internal experts, and the Consultant shall allocate sufficient time and budget for this process.</w:t>
            </w:r>
          </w:p>
          <w:p w14:paraId="207438CC" w14:textId="77777777" w:rsidR="00B13244" w:rsidRPr="00D5509E" w:rsidRDefault="00B13244" w:rsidP="005330DF">
            <w:pPr>
              <w:ind w:firstLine="720"/>
              <w:jc w:val="both"/>
              <w:rPr>
                <w:rFonts w:ascii="Times New Roman" w:hAnsi="Times New Roman" w:cs="Times New Roman"/>
                <w:sz w:val="22"/>
                <w:szCs w:val="22"/>
              </w:rPr>
            </w:pPr>
          </w:p>
          <w:p w14:paraId="25B3B94F" w14:textId="5CDBBCA0" w:rsidR="00B13244" w:rsidRPr="00D5509E" w:rsidRDefault="00D02244" w:rsidP="00EE08AE">
            <w:pPr>
              <w:pStyle w:val="a7"/>
              <w:numPr>
                <w:ilvl w:val="1"/>
                <w:numId w:val="17"/>
              </w:numPr>
              <w:spacing w:after="0" w:line="240" w:lineRule="auto"/>
              <w:jc w:val="both"/>
              <w:rPr>
                <w:rFonts w:ascii="Times New Roman" w:hAnsi="Times New Roman" w:cs="Times New Roman"/>
                <w:b/>
                <w:bCs/>
                <w:sz w:val="22"/>
                <w:szCs w:val="22"/>
                <w:lang w:val="ky-KG"/>
              </w:rPr>
            </w:pPr>
            <w:r w:rsidRPr="00D5509E">
              <w:rPr>
                <w:rFonts w:ascii="Times New Roman" w:hAnsi="Times New Roman" w:cs="Times New Roman"/>
                <w:b/>
                <w:bCs/>
                <w:sz w:val="22"/>
                <w:szCs w:val="22"/>
              </w:rPr>
              <w:t>Environmental Legislation Requirements of the Kyrgyz Republic</w:t>
            </w:r>
          </w:p>
          <w:p w14:paraId="7AD8E54F" w14:textId="77777777" w:rsidR="00B13244" w:rsidRPr="00D5509E" w:rsidRDefault="00B13244" w:rsidP="005330DF">
            <w:pPr>
              <w:pStyle w:val="a7"/>
              <w:jc w:val="both"/>
              <w:rPr>
                <w:rFonts w:ascii="Times New Roman" w:hAnsi="Times New Roman" w:cs="Times New Roman"/>
                <w:b/>
                <w:bCs/>
                <w:sz w:val="22"/>
                <w:szCs w:val="22"/>
                <w:lang w:val="ky-KG"/>
              </w:rPr>
            </w:pPr>
          </w:p>
          <w:p w14:paraId="6DE21131" w14:textId="4AB054D1" w:rsidR="00B13244" w:rsidRPr="00D5509E" w:rsidRDefault="002B43EF" w:rsidP="005330DF">
            <w:pPr>
              <w:jc w:val="both"/>
              <w:rPr>
                <w:rFonts w:ascii="Times New Roman" w:hAnsi="Times New Roman" w:cs="Times New Roman"/>
                <w:sz w:val="22"/>
                <w:szCs w:val="22"/>
              </w:rPr>
            </w:pPr>
            <w:r w:rsidRPr="00D5509E">
              <w:rPr>
                <w:rFonts w:ascii="Times New Roman" w:hAnsi="Times New Roman" w:cs="Times New Roman"/>
                <w:sz w:val="22"/>
                <w:szCs w:val="22"/>
              </w:rPr>
              <w:t>The Consultant shall ensure compliance with the following regulatory documents (including but not limited to):</w:t>
            </w:r>
          </w:p>
          <w:p w14:paraId="14BA6AA2" w14:textId="65630543" w:rsidR="00B13244" w:rsidRPr="00D5509E" w:rsidRDefault="002B43EF"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w:t>
            </w:r>
            <w:r w:rsidRPr="00D5509E">
              <w:rPr>
                <w:rFonts w:ascii="Times New Roman" w:hAnsi="Times New Roman" w:cs="Times New Roman"/>
                <w:sz w:val="22"/>
                <w:szCs w:val="22"/>
                <w:lang w:val="ru-RU"/>
              </w:rPr>
              <w:t xml:space="preserve"> </w:t>
            </w:r>
            <w:r w:rsidRPr="00D5509E">
              <w:rPr>
                <w:rFonts w:ascii="Times New Roman" w:hAnsi="Times New Roman" w:cs="Times New Roman"/>
                <w:sz w:val="22"/>
                <w:szCs w:val="22"/>
              </w:rPr>
              <w:t>Water Code</w:t>
            </w:r>
            <w:r w:rsidR="00B13244" w:rsidRPr="00D5509E">
              <w:rPr>
                <w:rFonts w:ascii="Times New Roman" w:hAnsi="Times New Roman" w:cs="Times New Roman"/>
                <w:sz w:val="22"/>
                <w:szCs w:val="22"/>
              </w:rPr>
              <w:t>;</w:t>
            </w:r>
          </w:p>
          <w:p w14:paraId="4E9976A2" w14:textId="26299E6D" w:rsidR="00B13244" w:rsidRPr="00D5509E" w:rsidRDefault="002B43EF" w:rsidP="00EE08AE">
            <w:pPr>
              <w:numPr>
                <w:ilvl w:val="0"/>
                <w:numId w:val="11"/>
              </w:numPr>
              <w:spacing w:after="0" w:line="240" w:lineRule="auto"/>
              <w:jc w:val="both"/>
              <w:rPr>
                <w:rFonts w:ascii="Times New Roman" w:hAnsi="Times New Roman" w:cs="Times New Roman"/>
                <w:sz w:val="22"/>
                <w:szCs w:val="22"/>
                <w:lang w:val="ru-RU"/>
              </w:rPr>
            </w:pPr>
            <w:r w:rsidRPr="00D5509E">
              <w:rPr>
                <w:rFonts w:ascii="Times New Roman" w:hAnsi="Times New Roman" w:cs="Times New Roman"/>
                <w:sz w:val="22"/>
                <w:szCs w:val="22"/>
                <w:lang w:val="ky-KG"/>
              </w:rPr>
              <w:t xml:space="preserve">Kyrgyz Republic </w:t>
            </w:r>
            <w:r w:rsidRPr="00D5509E">
              <w:rPr>
                <w:rFonts w:ascii="Times New Roman" w:hAnsi="Times New Roman" w:cs="Times New Roman"/>
                <w:sz w:val="22"/>
                <w:szCs w:val="22"/>
              </w:rPr>
              <w:t>Land Code</w:t>
            </w:r>
            <w:r w:rsidR="00B13244" w:rsidRPr="00D5509E">
              <w:rPr>
                <w:rFonts w:ascii="Times New Roman" w:hAnsi="Times New Roman" w:cs="Times New Roman"/>
                <w:sz w:val="22"/>
                <w:szCs w:val="22"/>
                <w:lang w:val="ky-KG"/>
              </w:rPr>
              <w:t>;</w:t>
            </w:r>
          </w:p>
          <w:p w14:paraId="7068FE03" w14:textId="19C2B4AA" w:rsidR="00B13244" w:rsidRPr="00D5509E" w:rsidRDefault="005F3759"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Law “On Environmental Protection”;</w:t>
            </w:r>
          </w:p>
          <w:p w14:paraId="06E5BF24" w14:textId="693CC612" w:rsidR="00B13244" w:rsidRPr="00D5509E" w:rsidRDefault="00064A37"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Law “On Environmental Expertise”;</w:t>
            </w:r>
          </w:p>
          <w:p w14:paraId="36E279E8" w14:textId="39ECF490" w:rsidR="00B13244" w:rsidRPr="00D5509E" w:rsidRDefault="00064A37"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Law of the “On Subsoil”;</w:t>
            </w:r>
          </w:p>
          <w:p w14:paraId="296B8B1B" w14:textId="04C0A4DC" w:rsidR="00B13244" w:rsidRPr="00D5509E" w:rsidRDefault="001273CB"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Law on “General Technical Regulation on Environmental Safety in the Kyrgyz Republic”;</w:t>
            </w:r>
          </w:p>
          <w:p w14:paraId="1DC44BC6" w14:textId="4DF933E1" w:rsidR="00B13244" w:rsidRPr="00D5509E" w:rsidRDefault="00B006FD"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Law of the “On Protection of Atmospheric Air”;</w:t>
            </w:r>
          </w:p>
          <w:p w14:paraId="0E9BB0EB" w14:textId="42E40573" w:rsidR="00B13244" w:rsidRPr="00D5509E" w:rsidRDefault="00B006FD"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Government Decree #517</w:t>
            </w:r>
            <w:r w:rsidR="00FF3568" w:rsidRPr="00D5509E">
              <w:rPr>
                <w:rFonts w:ascii="Times New Roman" w:hAnsi="Times New Roman" w:cs="Times New Roman"/>
                <w:sz w:val="22"/>
                <w:szCs w:val="22"/>
              </w:rPr>
              <w:t xml:space="preserve"> </w:t>
            </w:r>
            <w:r w:rsidRPr="00D5509E">
              <w:rPr>
                <w:rFonts w:ascii="Times New Roman" w:hAnsi="Times New Roman" w:cs="Times New Roman"/>
                <w:sz w:val="22"/>
                <w:szCs w:val="22"/>
              </w:rPr>
              <w:t>“Regulation on Reclamation of Lands Disturbed During Subsoil Use</w:t>
            </w:r>
            <w:r w:rsidR="00FF3568" w:rsidRPr="00D5509E">
              <w:rPr>
                <w:rFonts w:ascii="Times New Roman" w:hAnsi="Times New Roman" w:cs="Times New Roman"/>
                <w:sz w:val="22"/>
                <w:szCs w:val="22"/>
              </w:rPr>
              <w:t>” dated September 18, 2017</w:t>
            </w:r>
            <w:r w:rsidRPr="00D5509E">
              <w:rPr>
                <w:rFonts w:ascii="Times New Roman" w:hAnsi="Times New Roman" w:cs="Times New Roman"/>
                <w:sz w:val="22"/>
                <w:szCs w:val="22"/>
              </w:rPr>
              <w:t>;</w:t>
            </w:r>
          </w:p>
          <w:p w14:paraId="05DECD83" w14:textId="1E12148D" w:rsidR="00B13244" w:rsidRPr="00D5509E" w:rsidRDefault="00117FB7"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Government Decree #201 (2016) — Maximum Allowable Concentrations (MAC) of chemical substances in water;</w:t>
            </w:r>
          </w:p>
          <w:p w14:paraId="4F7EDF86" w14:textId="6CE0D599" w:rsidR="00B13244" w:rsidRPr="00D5509E" w:rsidRDefault="005D425C"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Kyrgyz Republic Sanitary Rules and Regulations (SanPiN) for drinking water quality and water bodies;</w:t>
            </w:r>
          </w:p>
          <w:p w14:paraId="5151F5B7" w14:textId="6E9926F2" w:rsidR="00B13244" w:rsidRPr="00D5509E" w:rsidRDefault="007938DC" w:rsidP="00EE08AE">
            <w:pPr>
              <w:numPr>
                <w:ilvl w:val="0"/>
                <w:numId w:val="11"/>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Waste management standards and their classification criteria.</w:t>
            </w:r>
          </w:p>
          <w:p w14:paraId="504C45BF" w14:textId="580C0DCF" w:rsidR="00B13244" w:rsidRPr="00D5509E" w:rsidRDefault="007938DC" w:rsidP="005330DF">
            <w:pPr>
              <w:ind w:firstLine="720"/>
              <w:jc w:val="both"/>
              <w:rPr>
                <w:rFonts w:ascii="Times New Roman" w:hAnsi="Times New Roman" w:cs="Times New Roman"/>
                <w:sz w:val="22"/>
                <w:szCs w:val="22"/>
              </w:rPr>
            </w:pPr>
            <w:r w:rsidRPr="00D5509E">
              <w:rPr>
                <w:rFonts w:ascii="Times New Roman" w:hAnsi="Times New Roman" w:cs="Times New Roman"/>
                <w:sz w:val="22"/>
                <w:szCs w:val="22"/>
              </w:rPr>
              <w:t>All environmental solutions shall include references to applicable regulations and be supported by relevant calculations.</w:t>
            </w:r>
          </w:p>
          <w:p w14:paraId="76C7668D" w14:textId="62EE8A84" w:rsidR="00B13244" w:rsidRPr="00D5509E" w:rsidRDefault="00B13244" w:rsidP="005330DF">
            <w:pPr>
              <w:jc w:val="both"/>
              <w:rPr>
                <w:rFonts w:ascii="Times New Roman" w:hAnsi="Times New Roman" w:cs="Times New Roman"/>
                <w:b/>
                <w:bCs/>
                <w:sz w:val="22"/>
                <w:szCs w:val="22"/>
                <w:lang w:val="ky-KG"/>
              </w:rPr>
            </w:pPr>
            <w:r w:rsidRPr="00D5509E">
              <w:rPr>
                <w:rFonts w:ascii="Times New Roman" w:hAnsi="Times New Roman" w:cs="Times New Roman"/>
                <w:b/>
                <w:bCs/>
                <w:sz w:val="22"/>
                <w:szCs w:val="22"/>
                <w:lang w:val="ky-KG"/>
              </w:rPr>
              <w:t xml:space="preserve">     1.14  </w:t>
            </w:r>
            <w:r w:rsidR="004A5029" w:rsidRPr="00D5509E">
              <w:rPr>
                <w:rFonts w:ascii="Times New Roman" w:hAnsi="Times New Roman" w:cs="Times New Roman"/>
                <w:b/>
                <w:bCs/>
                <w:sz w:val="22"/>
                <w:szCs w:val="22"/>
              </w:rPr>
              <w:t>Waste Management (industrial and domestic)</w:t>
            </w:r>
          </w:p>
          <w:p w14:paraId="5AB61BF1" w14:textId="6970F5A2" w:rsidR="00B13244" w:rsidRPr="00D5509E" w:rsidRDefault="00B60400" w:rsidP="005330DF">
            <w:pPr>
              <w:ind w:firstLine="720"/>
              <w:jc w:val="both"/>
              <w:rPr>
                <w:rFonts w:ascii="Times New Roman" w:hAnsi="Times New Roman" w:cs="Times New Roman"/>
                <w:sz w:val="22"/>
                <w:szCs w:val="22"/>
              </w:rPr>
            </w:pPr>
            <w:r w:rsidRPr="00D5509E">
              <w:rPr>
                <w:rFonts w:ascii="Times New Roman" w:hAnsi="Times New Roman" w:cs="Times New Roman"/>
                <w:sz w:val="22"/>
                <w:szCs w:val="22"/>
              </w:rPr>
              <w:t>The Consultant shall develop:</w:t>
            </w:r>
          </w:p>
          <w:p w14:paraId="175ADBF9" w14:textId="507682E8" w:rsidR="00B13244" w:rsidRPr="00D5509E" w:rsidRDefault="00B60400" w:rsidP="00EE08AE">
            <w:pPr>
              <w:numPr>
                <w:ilvl w:val="0"/>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a plan for safe decommissioning of waste management facilities;</w:t>
            </w:r>
          </w:p>
          <w:p w14:paraId="13B596C2" w14:textId="0FFF7049" w:rsidR="00B13244" w:rsidRPr="00D5509E" w:rsidRDefault="00F204DE" w:rsidP="00EE08AE">
            <w:pPr>
              <w:numPr>
                <w:ilvl w:val="0"/>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an assessment of residual contamination at storage sites;</w:t>
            </w:r>
          </w:p>
          <w:p w14:paraId="386545E7" w14:textId="508CC8B8" w:rsidR="00B13244" w:rsidRPr="00D5509E" w:rsidRDefault="00F204DE" w:rsidP="00EE08AE">
            <w:pPr>
              <w:numPr>
                <w:ilvl w:val="0"/>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procedures for closure and conservation of fuel, lubricant, reagent, and chemical storage facilities;</w:t>
            </w:r>
          </w:p>
          <w:p w14:paraId="203775F4" w14:textId="19B51788" w:rsidR="00B13244" w:rsidRPr="00D5509E" w:rsidRDefault="004E7E16" w:rsidP="00EE08AE">
            <w:pPr>
              <w:numPr>
                <w:ilvl w:val="0"/>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a hazardous waste management plan, including</w:t>
            </w:r>
            <w:r w:rsidR="00B13244" w:rsidRPr="00D5509E">
              <w:rPr>
                <w:rFonts w:ascii="Times New Roman" w:hAnsi="Times New Roman" w:cs="Times New Roman"/>
                <w:sz w:val="22"/>
                <w:szCs w:val="22"/>
              </w:rPr>
              <w:t xml:space="preserve">: </w:t>
            </w:r>
          </w:p>
          <w:p w14:paraId="0AB4CC9D" w14:textId="4AED7A93" w:rsidR="00B13244" w:rsidRPr="00D5509E" w:rsidRDefault="004E7E16" w:rsidP="00EE08AE">
            <w:pPr>
              <w:numPr>
                <w:ilvl w:val="1"/>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sulfide-containing </w:t>
            </w:r>
            <w:r w:rsidR="00014267" w:rsidRPr="00D5509E">
              <w:rPr>
                <w:rFonts w:ascii="Times New Roman" w:hAnsi="Times New Roman" w:cs="Times New Roman"/>
                <w:sz w:val="22"/>
                <w:szCs w:val="22"/>
              </w:rPr>
              <w:t>materials;</w:t>
            </w:r>
          </w:p>
          <w:p w14:paraId="551A54A3" w14:textId="6108CECB" w:rsidR="00B13244" w:rsidRPr="00D5509E" w:rsidRDefault="00014267" w:rsidP="00EE08AE">
            <w:pPr>
              <w:numPr>
                <w:ilvl w:val="1"/>
                <w:numId w:val="27"/>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cyanide-containing residues from the Mill.</w:t>
            </w:r>
          </w:p>
          <w:p w14:paraId="6E2DD47E" w14:textId="77777777" w:rsidR="00B13244" w:rsidRPr="00D5509E" w:rsidRDefault="00B13244" w:rsidP="005330DF">
            <w:pPr>
              <w:spacing w:line="259" w:lineRule="auto"/>
              <w:jc w:val="both"/>
              <w:rPr>
                <w:rFonts w:ascii="Times New Roman" w:hAnsi="Times New Roman" w:cs="Times New Roman"/>
                <w:sz w:val="22"/>
                <w:szCs w:val="22"/>
                <w:lang w:val="ky-KG"/>
              </w:rPr>
            </w:pPr>
          </w:p>
          <w:p w14:paraId="6F3DD976" w14:textId="218EFF61" w:rsidR="00B13244" w:rsidRPr="00D5509E" w:rsidRDefault="00CF447F" w:rsidP="00EE08AE">
            <w:pPr>
              <w:pStyle w:val="a7"/>
              <w:numPr>
                <w:ilvl w:val="1"/>
                <w:numId w:val="30"/>
              </w:numPr>
              <w:spacing w:after="0" w:line="240" w:lineRule="auto"/>
              <w:ind w:hanging="239"/>
              <w:jc w:val="both"/>
              <w:rPr>
                <w:rFonts w:ascii="Times New Roman" w:hAnsi="Times New Roman" w:cs="Times New Roman"/>
                <w:b/>
                <w:bCs/>
                <w:sz w:val="22"/>
                <w:szCs w:val="22"/>
                <w:lang w:val="ky-KG"/>
              </w:rPr>
            </w:pPr>
            <w:r w:rsidRPr="00D5509E">
              <w:rPr>
                <w:rFonts w:ascii="Times New Roman" w:hAnsi="Times New Roman" w:cs="Times New Roman"/>
                <w:b/>
                <w:bCs/>
                <w:sz w:val="22"/>
                <w:szCs w:val="22"/>
                <w:lang w:val="ky-KG"/>
              </w:rPr>
              <w:t>Risk and Opportunity Assessment and Management</w:t>
            </w:r>
          </w:p>
          <w:p w14:paraId="32CC6F17" w14:textId="70D29D21" w:rsidR="00B13244" w:rsidRPr="00D5509E" w:rsidRDefault="00721CC4" w:rsidP="005330DF">
            <w:pPr>
              <w:ind w:firstLine="720"/>
              <w:jc w:val="both"/>
              <w:rPr>
                <w:rFonts w:ascii="Times New Roman" w:hAnsi="Times New Roman" w:cs="Times New Roman"/>
                <w:sz w:val="22"/>
                <w:szCs w:val="22"/>
              </w:rPr>
            </w:pPr>
            <w:r w:rsidRPr="00D5509E">
              <w:rPr>
                <w:rFonts w:ascii="Times New Roman" w:hAnsi="Times New Roman" w:cs="Times New Roman"/>
                <w:sz w:val="22"/>
                <w:szCs w:val="22"/>
              </w:rPr>
              <w:t>The Consultant shall:</w:t>
            </w:r>
          </w:p>
          <w:p w14:paraId="67CE9C7F" w14:textId="37EA564B" w:rsidR="00B13244" w:rsidRPr="00D5509E" w:rsidRDefault="00721CC4" w:rsidP="00EE08AE">
            <w:pPr>
              <w:numPr>
                <w:ilvl w:val="0"/>
                <w:numId w:val="28"/>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Conduct a comprehensive risk assessment, including:</w:t>
            </w:r>
            <w:r w:rsidR="00B13244" w:rsidRPr="00D5509E">
              <w:rPr>
                <w:rFonts w:ascii="Times New Roman" w:hAnsi="Times New Roman" w:cs="Times New Roman"/>
                <w:sz w:val="22"/>
                <w:szCs w:val="22"/>
              </w:rPr>
              <w:t xml:space="preserve"> </w:t>
            </w:r>
          </w:p>
          <w:p w14:paraId="7C56977D" w14:textId="57CB36FB" w:rsidR="00B13244" w:rsidRPr="00D5509E" w:rsidRDefault="00540BA6" w:rsidP="00EE08AE">
            <w:pPr>
              <w:pStyle w:val="a7"/>
              <w:numPr>
                <w:ilvl w:val="0"/>
                <w:numId w:val="29"/>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lastRenderedPageBreak/>
              <w:t>contamination of water, land, and atmospheric air</w:t>
            </w:r>
            <w:r w:rsidR="00B13244" w:rsidRPr="00D5509E">
              <w:rPr>
                <w:rFonts w:ascii="Times New Roman" w:hAnsi="Times New Roman" w:cs="Times New Roman"/>
                <w:sz w:val="22"/>
                <w:szCs w:val="22"/>
              </w:rPr>
              <w:t>;</w:t>
            </w:r>
          </w:p>
          <w:p w14:paraId="20FE9112" w14:textId="44914EEA" w:rsidR="00B13244" w:rsidRPr="00D5509E" w:rsidRDefault="00A10CFB" w:rsidP="00EE08AE">
            <w:pPr>
              <w:pStyle w:val="a7"/>
              <w:numPr>
                <w:ilvl w:val="0"/>
                <w:numId w:val="29"/>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soil erosion</w:t>
            </w:r>
            <w:r w:rsidR="00B13244" w:rsidRPr="00D5509E">
              <w:rPr>
                <w:rFonts w:ascii="Times New Roman" w:hAnsi="Times New Roman" w:cs="Times New Roman"/>
                <w:sz w:val="22"/>
                <w:szCs w:val="22"/>
              </w:rPr>
              <w:t>;</w:t>
            </w:r>
          </w:p>
          <w:p w14:paraId="6110205A" w14:textId="1930D7A4" w:rsidR="00B13244" w:rsidRPr="00D5509E" w:rsidRDefault="00A10CFB" w:rsidP="00EE08AE">
            <w:pPr>
              <w:pStyle w:val="a7"/>
              <w:numPr>
                <w:ilvl w:val="0"/>
                <w:numId w:val="29"/>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risks to biodiversity</w:t>
            </w:r>
            <w:r w:rsidR="00B13244" w:rsidRPr="00D5509E">
              <w:rPr>
                <w:rFonts w:ascii="Times New Roman" w:hAnsi="Times New Roman" w:cs="Times New Roman"/>
                <w:sz w:val="22"/>
                <w:szCs w:val="22"/>
              </w:rPr>
              <w:t>;</w:t>
            </w:r>
          </w:p>
          <w:p w14:paraId="42B5FB1B" w14:textId="6A064B60" w:rsidR="00B13244" w:rsidRPr="00D5509E" w:rsidRDefault="00A243F7" w:rsidP="00EE08AE">
            <w:pPr>
              <w:pStyle w:val="a7"/>
              <w:numPr>
                <w:ilvl w:val="0"/>
                <w:numId w:val="29"/>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emergency scenarios</w:t>
            </w:r>
            <w:r w:rsidR="00B13244" w:rsidRPr="00D5509E">
              <w:rPr>
                <w:rFonts w:ascii="Times New Roman" w:hAnsi="Times New Roman" w:cs="Times New Roman"/>
                <w:sz w:val="22"/>
                <w:szCs w:val="22"/>
              </w:rPr>
              <w:t>.</w:t>
            </w:r>
          </w:p>
          <w:p w14:paraId="5A6F0F8D" w14:textId="175EBCEB" w:rsidR="00B13244" w:rsidRPr="00D5509E" w:rsidRDefault="001C7016" w:rsidP="00EE08AE">
            <w:pPr>
              <w:numPr>
                <w:ilvl w:val="0"/>
                <w:numId w:val="28"/>
              </w:numPr>
              <w:spacing w:after="0" w:line="240" w:lineRule="auto"/>
              <w:jc w:val="both"/>
              <w:rPr>
                <w:rFonts w:ascii="Times New Roman" w:hAnsi="Times New Roman" w:cs="Times New Roman"/>
                <w:sz w:val="22"/>
                <w:szCs w:val="22"/>
              </w:rPr>
            </w:pPr>
            <w:r w:rsidRPr="00D5509E">
              <w:rPr>
                <w:rFonts w:ascii="Times New Roman" w:hAnsi="Times New Roman" w:cs="Times New Roman"/>
                <w:sz w:val="22"/>
                <w:szCs w:val="22"/>
              </w:rPr>
              <w:t>Include a risk map and a risk matrix.</w:t>
            </w:r>
          </w:p>
          <w:p w14:paraId="71B47EC5" w14:textId="027200A9" w:rsidR="00B13244" w:rsidRPr="00D5509E" w:rsidRDefault="001C7016" w:rsidP="00EE08AE">
            <w:pPr>
              <w:numPr>
                <w:ilvl w:val="0"/>
                <w:numId w:val="28"/>
              </w:numPr>
              <w:spacing w:after="0" w:line="240" w:lineRule="auto"/>
              <w:jc w:val="both"/>
              <w:rPr>
                <w:rFonts w:ascii="Times New Roman" w:hAnsi="Times New Roman" w:cs="Times New Roman"/>
                <w:sz w:val="22"/>
                <w:szCs w:val="22"/>
                <w:lang w:val="ky-KG"/>
              </w:rPr>
            </w:pPr>
            <w:r w:rsidRPr="00D5509E">
              <w:rPr>
                <w:rFonts w:ascii="Times New Roman" w:hAnsi="Times New Roman" w:cs="Times New Roman"/>
                <w:sz w:val="22"/>
                <w:szCs w:val="22"/>
              </w:rPr>
              <w:t>Develop an environmental response plan in case deviations are identified during monitoring.</w:t>
            </w:r>
          </w:p>
        </w:tc>
      </w:tr>
      <w:tr w:rsidR="00B13244" w:rsidRPr="00D5509E" w14:paraId="157A3229" w14:textId="77777777" w:rsidTr="005330DF">
        <w:tblPrEx>
          <w:tblLook w:val="0000" w:firstRow="0" w:lastRow="0" w:firstColumn="0" w:lastColumn="0" w:noHBand="0" w:noVBand="0"/>
        </w:tblPrEx>
        <w:trPr>
          <w:trHeight w:val="1511"/>
        </w:trPr>
        <w:tc>
          <w:tcPr>
            <w:tcW w:w="339" w:type="pct"/>
          </w:tcPr>
          <w:p w14:paraId="4F070521"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lastRenderedPageBreak/>
              <w:t>7</w:t>
            </w:r>
          </w:p>
        </w:tc>
        <w:tc>
          <w:tcPr>
            <w:tcW w:w="1006" w:type="pct"/>
          </w:tcPr>
          <w:p w14:paraId="5B5C9F00" w14:textId="1DC7D7B7" w:rsidR="00B13244" w:rsidRPr="00D5509E" w:rsidRDefault="00E317AE" w:rsidP="005330DF">
            <w:pPr>
              <w:rPr>
                <w:rFonts w:ascii="Times New Roman" w:hAnsi="Times New Roman" w:cs="Times New Roman"/>
                <w:sz w:val="22"/>
                <w:szCs w:val="22"/>
              </w:rPr>
            </w:pPr>
            <w:r w:rsidRPr="00D5509E">
              <w:rPr>
                <w:rFonts w:ascii="Times New Roman" w:hAnsi="Times New Roman" w:cs="Times New Roman"/>
                <w:sz w:val="22"/>
                <w:szCs w:val="22"/>
              </w:rPr>
              <w:t>Additional Requirements</w:t>
            </w:r>
          </w:p>
        </w:tc>
        <w:tc>
          <w:tcPr>
            <w:tcW w:w="3655" w:type="pct"/>
          </w:tcPr>
          <w:p w14:paraId="0B4C9EF1" w14:textId="7F441E26" w:rsidR="00B13244" w:rsidRPr="00D5509E" w:rsidRDefault="00B658C3" w:rsidP="00EE08AE">
            <w:pPr>
              <w:numPr>
                <w:ilvl w:val="0"/>
                <w:numId w:val="14"/>
              </w:numPr>
              <w:spacing w:after="0" w:line="240" w:lineRule="auto"/>
              <w:rPr>
                <w:rFonts w:ascii="Times New Roman" w:hAnsi="Times New Roman" w:cs="Times New Roman"/>
                <w:sz w:val="22"/>
                <w:szCs w:val="22"/>
              </w:rPr>
            </w:pPr>
            <w:r w:rsidRPr="00D5509E">
              <w:rPr>
                <w:rFonts w:ascii="Times New Roman" w:hAnsi="Times New Roman" w:cs="Times New Roman"/>
                <w:sz w:val="22"/>
                <w:szCs w:val="22"/>
              </w:rPr>
              <w:t xml:space="preserve">In case of failure to meet work completion deadlines or non-compliance of quality with the established requirements, the Customer has the right to apply liability measures to the Consultant, including penalties </w:t>
            </w:r>
            <w:r w:rsidR="00C6199E" w:rsidRPr="00D5509E">
              <w:rPr>
                <w:rFonts w:ascii="Times New Roman" w:hAnsi="Times New Roman" w:cs="Times New Roman"/>
                <w:sz w:val="22"/>
                <w:szCs w:val="22"/>
              </w:rPr>
              <w:t>provided by the Agreement</w:t>
            </w:r>
            <w:r w:rsidRPr="00D5509E">
              <w:rPr>
                <w:rFonts w:ascii="Times New Roman" w:hAnsi="Times New Roman" w:cs="Times New Roman"/>
                <w:sz w:val="22"/>
                <w:szCs w:val="22"/>
              </w:rPr>
              <w:t>. The application of such penalties shall not release the Consultant from the obligation to complete the work and rectify any identified deficiencies.</w:t>
            </w:r>
          </w:p>
        </w:tc>
      </w:tr>
      <w:tr w:rsidR="00B13244" w:rsidRPr="00D5509E" w14:paraId="0B028963" w14:textId="77777777" w:rsidTr="005330DF">
        <w:tblPrEx>
          <w:tblLook w:val="0000" w:firstRow="0" w:lastRow="0" w:firstColumn="0" w:lastColumn="0" w:noHBand="0" w:noVBand="0"/>
        </w:tblPrEx>
        <w:trPr>
          <w:trHeight w:val="620"/>
        </w:trPr>
        <w:tc>
          <w:tcPr>
            <w:tcW w:w="339" w:type="pct"/>
          </w:tcPr>
          <w:p w14:paraId="0BE301A0"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8</w:t>
            </w:r>
          </w:p>
        </w:tc>
        <w:tc>
          <w:tcPr>
            <w:tcW w:w="1006" w:type="pct"/>
          </w:tcPr>
          <w:p w14:paraId="1EC2097B" w14:textId="2A81FD95" w:rsidR="00B13244" w:rsidRPr="00D5509E" w:rsidRDefault="001A559B" w:rsidP="005330DF">
            <w:pPr>
              <w:rPr>
                <w:rFonts w:ascii="Times New Roman" w:hAnsi="Times New Roman" w:cs="Times New Roman"/>
                <w:sz w:val="22"/>
                <w:szCs w:val="22"/>
                <w:lang w:val="ky-KG"/>
              </w:rPr>
            </w:pPr>
            <w:r w:rsidRPr="00D5509E">
              <w:rPr>
                <w:rFonts w:ascii="Times New Roman" w:hAnsi="Times New Roman" w:cs="Times New Roman"/>
                <w:sz w:val="22"/>
                <w:szCs w:val="22"/>
              </w:rPr>
              <w:t>Requirements</w:t>
            </w:r>
            <w:r w:rsidRPr="00D5509E">
              <w:rPr>
                <w:rFonts w:ascii="Times New Roman" w:hAnsi="Times New Roman" w:cs="Times New Roman"/>
                <w:sz w:val="22"/>
                <w:szCs w:val="22"/>
                <w:lang w:val="ru-RU"/>
              </w:rPr>
              <w:t xml:space="preserve"> </w:t>
            </w:r>
            <w:r w:rsidRPr="00D5509E">
              <w:rPr>
                <w:rFonts w:ascii="Times New Roman" w:hAnsi="Times New Roman" w:cs="Times New Roman"/>
                <w:sz w:val="22"/>
                <w:szCs w:val="22"/>
              </w:rPr>
              <w:t>for</w:t>
            </w:r>
            <w:r w:rsidRPr="00D5509E">
              <w:rPr>
                <w:rFonts w:ascii="Times New Roman" w:hAnsi="Times New Roman" w:cs="Times New Roman"/>
                <w:sz w:val="22"/>
                <w:szCs w:val="22"/>
                <w:lang w:val="ru-RU"/>
              </w:rPr>
              <w:t xml:space="preserve"> </w:t>
            </w:r>
            <w:r w:rsidRPr="00D5509E">
              <w:rPr>
                <w:rFonts w:ascii="Times New Roman" w:hAnsi="Times New Roman" w:cs="Times New Roman"/>
                <w:sz w:val="22"/>
                <w:szCs w:val="22"/>
              </w:rPr>
              <w:t>Design</w:t>
            </w:r>
            <w:r w:rsidRPr="00D5509E">
              <w:rPr>
                <w:rFonts w:ascii="Times New Roman" w:hAnsi="Times New Roman" w:cs="Times New Roman"/>
                <w:sz w:val="22"/>
                <w:szCs w:val="22"/>
                <w:lang w:val="ru-RU"/>
              </w:rPr>
              <w:t xml:space="preserve"> </w:t>
            </w:r>
            <w:r w:rsidRPr="00D5509E">
              <w:rPr>
                <w:rFonts w:ascii="Times New Roman" w:hAnsi="Times New Roman" w:cs="Times New Roman"/>
                <w:sz w:val="22"/>
                <w:szCs w:val="22"/>
              </w:rPr>
              <w:t>Documentation</w:t>
            </w:r>
          </w:p>
        </w:tc>
        <w:tc>
          <w:tcPr>
            <w:tcW w:w="3655" w:type="pct"/>
          </w:tcPr>
          <w:p w14:paraId="14F2698F" w14:textId="3CC3A179" w:rsidR="00B13244" w:rsidRPr="00D5509E" w:rsidRDefault="0065485A" w:rsidP="00EE08AE">
            <w:pPr>
              <w:pStyle w:val="a7"/>
              <w:numPr>
                <w:ilvl w:val="0"/>
                <w:numId w:val="13"/>
              </w:numPr>
              <w:spacing w:after="0" w:line="240" w:lineRule="auto"/>
              <w:contextualSpacing w:val="0"/>
              <w:rPr>
                <w:rFonts w:ascii="Times New Roman" w:hAnsi="Times New Roman" w:cs="Times New Roman"/>
                <w:sz w:val="22"/>
                <w:szCs w:val="22"/>
              </w:rPr>
            </w:pPr>
            <w:r w:rsidRPr="00D5509E">
              <w:rPr>
                <w:rFonts w:ascii="Times New Roman" w:hAnsi="Times New Roman" w:cs="Times New Roman"/>
                <w:sz w:val="22"/>
                <w:szCs w:val="22"/>
                <w:lang w:val="ky-KG"/>
              </w:rPr>
              <w:t>The Commercial Proposal shall be sufficiently detailed.</w:t>
            </w:r>
          </w:p>
          <w:p w14:paraId="32C85D6E" w14:textId="4CCDB40E" w:rsidR="00B13244" w:rsidRPr="00D5509E" w:rsidRDefault="00151AB8" w:rsidP="00EE08AE">
            <w:pPr>
              <w:pStyle w:val="a7"/>
              <w:numPr>
                <w:ilvl w:val="0"/>
                <w:numId w:val="13"/>
              </w:numPr>
              <w:spacing w:after="0" w:line="240" w:lineRule="auto"/>
              <w:contextualSpacing w:val="0"/>
              <w:rPr>
                <w:rFonts w:ascii="Times New Roman" w:hAnsi="Times New Roman" w:cs="Times New Roman"/>
                <w:sz w:val="22"/>
                <w:szCs w:val="22"/>
              </w:rPr>
            </w:pPr>
            <w:r w:rsidRPr="00D5509E">
              <w:rPr>
                <w:rFonts w:ascii="Times New Roman" w:hAnsi="Times New Roman" w:cs="Times New Roman"/>
                <w:sz w:val="22"/>
                <w:szCs w:val="22"/>
              </w:rPr>
              <w:t xml:space="preserve">The Consultant (Contractor) shall provide a cost estimate for each item of the above-mentioned scope of work. The Customer reserves the right to exclude or add certain </w:t>
            </w:r>
            <w:r w:rsidR="00262E66" w:rsidRPr="00D5509E">
              <w:rPr>
                <w:rFonts w:ascii="Times New Roman" w:hAnsi="Times New Roman" w:cs="Times New Roman"/>
                <w:sz w:val="22"/>
                <w:szCs w:val="22"/>
              </w:rPr>
              <w:t xml:space="preserve">items to the </w:t>
            </w:r>
            <w:r w:rsidRPr="00D5509E">
              <w:rPr>
                <w:rFonts w:ascii="Times New Roman" w:hAnsi="Times New Roman" w:cs="Times New Roman"/>
                <w:sz w:val="22"/>
                <w:szCs w:val="22"/>
              </w:rPr>
              <w:t>scope</w:t>
            </w:r>
            <w:r w:rsidR="00262E66" w:rsidRPr="00D5509E">
              <w:rPr>
                <w:rFonts w:ascii="Times New Roman" w:hAnsi="Times New Roman" w:cs="Times New Roman"/>
                <w:sz w:val="22"/>
                <w:szCs w:val="22"/>
              </w:rPr>
              <w:t xml:space="preserve"> of work</w:t>
            </w:r>
            <w:r w:rsidR="00842607"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before or after </w:t>
            </w:r>
            <w:r w:rsidR="00842607" w:rsidRPr="00D5509E">
              <w:rPr>
                <w:rFonts w:ascii="Times New Roman" w:hAnsi="Times New Roman" w:cs="Times New Roman"/>
                <w:sz w:val="22"/>
                <w:szCs w:val="22"/>
              </w:rPr>
              <w:t>the conclusion of the Agreement</w:t>
            </w:r>
            <w:r w:rsidRPr="00D5509E">
              <w:rPr>
                <w:rFonts w:ascii="Times New Roman" w:hAnsi="Times New Roman" w:cs="Times New Roman"/>
                <w:sz w:val="22"/>
                <w:szCs w:val="22"/>
              </w:rPr>
              <w:t xml:space="preserve"> if such works are performed by the Customer at its own expense. The Consultant shall also indicate the required timelines for each </w:t>
            </w:r>
            <w:r w:rsidR="0021256B" w:rsidRPr="00D5509E">
              <w:rPr>
                <w:rFonts w:ascii="Times New Roman" w:hAnsi="Times New Roman" w:cs="Times New Roman"/>
                <w:sz w:val="22"/>
                <w:szCs w:val="22"/>
              </w:rPr>
              <w:t xml:space="preserve">item of the </w:t>
            </w:r>
            <w:r w:rsidRPr="00D5509E">
              <w:rPr>
                <w:rFonts w:ascii="Times New Roman" w:hAnsi="Times New Roman" w:cs="Times New Roman"/>
                <w:sz w:val="22"/>
                <w:szCs w:val="22"/>
              </w:rPr>
              <w:t>scope</w:t>
            </w:r>
            <w:r w:rsidR="0021256B" w:rsidRPr="00D5509E">
              <w:rPr>
                <w:rFonts w:ascii="Times New Roman" w:hAnsi="Times New Roman" w:cs="Times New Roman"/>
                <w:sz w:val="22"/>
                <w:szCs w:val="22"/>
              </w:rPr>
              <w:t xml:space="preserve"> of work</w:t>
            </w:r>
            <w:r w:rsidRPr="00D5509E">
              <w:rPr>
                <w:rFonts w:ascii="Times New Roman" w:hAnsi="Times New Roman" w:cs="Times New Roman"/>
                <w:sz w:val="22"/>
                <w:szCs w:val="22"/>
              </w:rPr>
              <w:t>.</w:t>
            </w:r>
          </w:p>
          <w:p w14:paraId="4BB50D91" w14:textId="018F6C3E" w:rsidR="00B13244" w:rsidRPr="00D5509E" w:rsidRDefault="009E4A2D" w:rsidP="00EE08AE">
            <w:pPr>
              <w:pStyle w:val="a7"/>
              <w:numPr>
                <w:ilvl w:val="0"/>
                <w:numId w:val="13"/>
              </w:numPr>
              <w:spacing w:after="0" w:line="240" w:lineRule="auto"/>
              <w:contextualSpacing w:val="0"/>
              <w:rPr>
                <w:rFonts w:ascii="Times New Roman" w:hAnsi="Times New Roman" w:cs="Times New Roman"/>
                <w:sz w:val="22"/>
                <w:szCs w:val="22"/>
              </w:rPr>
            </w:pPr>
            <w:r w:rsidRPr="00D5509E">
              <w:rPr>
                <w:rFonts w:ascii="Times New Roman" w:hAnsi="Times New Roman" w:cs="Times New Roman"/>
                <w:sz w:val="22"/>
                <w:szCs w:val="22"/>
              </w:rPr>
              <w:t>Prior to commencement of the work, the Consultant shall provide a complete set of permits and authorizations confirming the right to perform the relevant activities.</w:t>
            </w:r>
          </w:p>
          <w:p w14:paraId="7BD64DE3" w14:textId="6BF80E6D" w:rsidR="00B13244" w:rsidRPr="00D5509E" w:rsidRDefault="00A22245" w:rsidP="005330DF">
            <w:pPr>
              <w:ind w:firstLine="720"/>
              <w:jc w:val="both"/>
              <w:rPr>
                <w:rFonts w:ascii="Times New Roman" w:hAnsi="Times New Roman" w:cs="Times New Roman"/>
                <w:sz w:val="22"/>
                <w:szCs w:val="22"/>
              </w:rPr>
            </w:pPr>
            <w:r w:rsidRPr="00D5509E">
              <w:rPr>
                <w:rFonts w:ascii="Times New Roman" w:hAnsi="Times New Roman" w:cs="Times New Roman"/>
                <w:sz w:val="22"/>
                <w:szCs w:val="22"/>
              </w:rPr>
              <w:t>The proposal shall be submitted in electronic format by email to the Supply Department no later than the end of the working day (Kyrgyz time) on May 15, 2026. Proposals received after this deadline shall not be considered.</w:t>
            </w:r>
          </w:p>
          <w:p w14:paraId="6776F1FA" w14:textId="230F2DAC" w:rsidR="00B13244" w:rsidRPr="00D5509E" w:rsidRDefault="00CD3B08" w:rsidP="005330DF">
            <w:pPr>
              <w:ind w:firstLine="360"/>
              <w:jc w:val="both"/>
              <w:rPr>
                <w:rFonts w:ascii="Times New Roman" w:hAnsi="Times New Roman" w:cs="Times New Roman"/>
                <w:sz w:val="22"/>
                <w:szCs w:val="22"/>
              </w:rPr>
            </w:pPr>
            <w:r w:rsidRPr="00D5509E">
              <w:rPr>
                <w:rFonts w:ascii="Times New Roman" w:hAnsi="Times New Roman" w:cs="Times New Roman"/>
                <w:sz w:val="22"/>
                <w:szCs w:val="22"/>
              </w:rPr>
              <w:t>The Consultant is also encouraged to comment on the above Scope of Work and include proposals that may improve the final outcome and/or reduce costs. The Consultant shall include in its proposal:</w:t>
            </w:r>
          </w:p>
          <w:p w14:paraId="592DEF0B" w14:textId="77777777" w:rsidR="00B13244" w:rsidRPr="00D5509E" w:rsidRDefault="00B13244" w:rsidP="005330DF">
            <w:pPr>
              <w:ind w:firstLine="360"/>
              <w:jc w:val="both"/>
              <w:rPr>
                <w:rFonts w:ascii="Times New Roman" w:hAnsi="Times New Roman" w:cs="Times New Roman"/>
                <w:sz w:val="22"/>
                <w:szCs w:val="22"/>
              </w:rPr>
            </w:pPr>
          </w:p>
          <w:p w14:paraId="52385010" w14:textId="683C2C92" w:rsidR="00B13244" w:rsidRPr="00D5509E" w:rsidRDefault="00A8418C" w:rsidP="00EE08A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b/>
                <w:bCs/>
                <w:sz w:val="22"/>
                <w:szCs w:val="22"/>
              </w:rPr>
              <w:t>Project Objectives</w:t>
            </w:r>
            <w:r w:rsidRPr="00D5509E">
              <w:rPr>
                <w:rFonts w:ascii="Times New Roman" w:hAnsi="Times New Roman" w:cs="Times New Roman"/>
                <w:sz w:val="22"/>
                <w:szCs w:val="22"/>
              </w:rPr>
              <w:t xml:space="preserve"> – a brief description of the purpose, objectives, and deliverables of the proposed services, as well as the scope of services requested by Kumtor, including clear identification of any proposed amendments, variations, or suggestions.</w:t>
            </w:r>
          </w:p>
          <w:p w14:paraId="55645233" w14:textId="77777777" w:rsidR="00B13244" w:rsidRPr="00D5509E" w:rsidRDefault="00B13244" w:rsidP="005330DF">
            <w:pPr>
              <w:pStyle w:val="a7"/>
              <w:spacing w:line="259" w:lineRule="auto"/>
              <w:jc w:val="both"/>
              <w:rPr>
                <w:rFonts w:ascii="Times New Roman" w:hAnsi="Times New Roman" w:cs="Times New Roman"/>
                <w:sz w:val="22"/>
                <w:szCs w:val="22"/>
              </w:rPr>
            </w:pPr>
          </w:p>
          <w:p w14:paraId="74998D93" w14:textId="463EB866" w:rsidR="00826F3E" w:rsidRPr="00D5509E" w:rsidRDefault="00677259" w:rsidP="00826F3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b/>
                <w:bCs/>
                <w:sz w:val="22"/>
                <w:szCs w:val="22"/>
              </w:rPr>
              <w:t>Company Experience</w:t>
            </w:r>
            <w:r w:rsidRPr="00D5509E">
              <w:rPr>
                <w:rFonts w:ascii="Times New Roman" w:hAnsi="Times New Roman" w:cs="Times New Roman"/>
                <w:sz w:val="22"/>
                <w:szCs w:val="22"/>
              </w:rPr>
              <w:t xml:space="preserve"> – a list of relevant mine closure planning experience. Detailed information on completed projects shall include the project name, dates, client name, location, and the financial value of the Consultant’s contribution.</w:t>
            </w:r>
          </w:p>
          <w:p w14:paraId="5D22A507" w14:textId="77777777" w:rsidR="00826F3E" w:rsidRPr="00D5509E" w:rsidRDefault="00826F3E" w:rsidP="00826F3E">
            <w:pPr>
              <w:spacing w:line="259" w:lineRule="auto"/>
              <w:jc w:val="both"/>
              <w:rPr>
                <w:rFonts w:ascii="Times New Roman" w:hAnsi="Times New Roman" w:cs="Times New Roman"/>
                <w:sz w:val="22"/>
                <w:szCs w:val="22"/>
              </w:rPr>
            </w:pPr>
          </w:p>
          <w:p w14:paraId="4A24E8C1" w14:textId="49367654" w:rsidR="00B13244" w:rsidRPr="00D5509E" w:rsidRDefault="008118E5" w:rsidP="00826F3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Proposed Key Personnel (including subcontractors) – listing brief biographies, roles, and responsibilities of each team member for this assignment, including qualifications, knowledge, and experience. In the Appendix, the Consultant shall provide detailed CVs of all professional personnel, including the following:</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(a) name, age, citizenship, and position;</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(b) education and professional qualifications;</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 xml:space="preserve">(c) relevant experience (including location, company </w:t>
            </w:r>
            <w:r w:rsidRPr="00D5509E">
              <w:rPr>
                <w:rFonts w:ascii="Times New Roman" w:hAnsi="Times New Roman" w:cs="Times New Roman"/>
                <w:sz w:val="22"/>
                <w:szCs w:val="22"/>
              </w:rPr>
              <w:lastRenderedPageBreak/>
              <w:t>name, duties, responsibilities, dates, and duration of employment in reverse chronological order);</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(d) other professional experience (including publications);</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(e) proficiency in speaking, reading, and writing English and Russian;</w:t>
            </w:r>
            <w:r w:rsidR="00826F3E" w:rsidRPr="00D5509E">
              <w:rPr>
                <w:rFonts w:ascii="Times New Roman" w:hAnsi="Times New Roman" w:cs="Times New Roman"/>
                <w:sz w:val="22"/>
                <w:szCs w:val="22"/>
              </w:rPr>
              <w:t xml:space="preserve"> </w:t>
            </w:r>
            <w:r w:rsidRPr="00D5509E">
              <w:rPr>
                <w:rFonts w:ascii="Times New Roman" w:hAnsi="Times New Roman" w:cs="Times New Roman"/>
                <w:sz w:val="22"/>
                <w:szCs w:val="22"/>
              </w:rPr>
              <w:t>(f) certification with date and signature.</w:t>
            </w:r>
          </w:p>
          <w:p w14:paraId="05022196" w14:textId="77777777" w:rsidR="00B13244" w:rsidRPr="00D5509E" w:rsidRDefault="00B13244" w:rsidP="005330DF">
            <w:pPr>
              <w:spacing w:line="259" w:lineRule="auto"/>
              <w:jc w:val="both"/>
              <w:rPr>
                <w:rFonts w:ascii="Times New Roman" w:hAnsi="Times New Roman" w:cs="Times New Roman"/>
                <w:sz w:val="22"/>
                <w:szCs w:val="22"/>
                <w:lang w:val="ky-KG"/>
              </w:rPr>
            </w:pPr>
          </w:p>
          <w:p w14:paraId="3DCF396E" w14:textId="048788BB" w:rsidR="00B13244" w:rsidRPr="00D5509E" w:rsidRDefault="005974BB" w:rsidP="00EE08A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b/>
                <w:bCs/>
                <w:sz w:val="22"/>
                <w:szCs w:val="22"/>
              </w:rPr>
              <w:t>Detailed Budget</w:t>
            </w:r>
            <w:r w:rsidRPr="00D5509E">
              <w:rPr>
                <w:rFonts w:ascii="Times New Roman" w:hAnsi="Times New Roman" w:cs="Times New Roman"/>
                <w:sz w:val="22"/>
                <w:szCs w:val="22"/>
              </w:rPr>
              <w:t xml:space="preserve"> in US dollars (USD) for the proposed work program, including estimated labor input, professional staff rates, support staff rates, reimbursable expenses, allowances, and any applicable mark-ups. The level of detail shall include a task breakdown with staff hours, rates, and expense estimates. All assumptions used for budget preparation shall be clearly stated. The Consultant shall also include all project management requirements, including logistics not provided by KGC, reporting, and communication with KGC management and any external parties. A minimum of two visits to Kyrgyzstan/Kumtor mine shall be included.</w:t>
            </w:r>
          </w:p>
          <w:p w14:paraId="51DB04CE" w14:textId="77777777" w:rsidR="00B13244" w:rsidRPr="00D5509E" w:rsidRDefault="00B13244" w:rsidP="005330DF">
            <w:pPr>
              <w:spacing w:line="259" w:lineRule="auto"/>
              <w:jc w:val="both"/>
              <w:rPr>
                <w:rFonts w:ascii="Times New Roman" w:hAnsi="Times New Roman" w:cs="Times New Roman"/>
                <w:sz w:val="22"/>
                <w:szCs w:val="22"/>
                <w:lang w:val="ky-KG"/>
              </w:rPr>
            </w:pPr>
          </w:p>
          <w:p w14:paraId="5A54367D" w14:textId="60587376" w:rsidR="00B13244" w:rsidRPr="00D5509E" w:rsidRDefault="00E24DAE" w:rsidP="00EE08A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Detailed Project Schedule/Work Plan (Gantt chart), based on mobilization during the week starting July 1, 2026, or earlier, including key milestones for completion of each phase and delivery of all outputs by November 1, 2026. The Gantt chart shall indicate timelines and durations of tasks and sub-tasks, reporting deadlines, milestones, Client decision points, and the critical path within a maximum period of eight months. The Consultant shall also include an estimate of person-days required for each task and sub-task, clearly indicating periods when personnel will be at the Kumtor mine in the Kyrgyz Republic and in the Consultant’s office. After negotiations, the number of person-days will be agreed in the contract and may only be exceeded with prior written approval from Kumtor. All assumptions made in developing the schedule shall be clearly stated, and the schedule shall include all necessary coordination calls and review meetings with KGC.</w:t>
            </w:r>
          </w:p>
          <w:p w14:paraId="6BBB4993" w14:textId="25FFE7AF" w:rsidR="00B13244" w:rsidRPr="00D5509E" w:rsidRDefault="00F83D15" w:rsidP="00EE08AE">
            <w:pPr>
              <w:pStyle w:val="a7"/>
              <w:numPr>
                <w:ilvl w:val="0"/>
                <w:numId w:val="26"/>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 xml:space="preserve">Proposed </w:t>
            </w:r>
            <w:r w:rsidRPr="00D5509E">
              <w:rPr>
                <w:rFonts w:ascii="Times New Roman" w:hAnsi="Times New Roman" w:cs="Times New Roman"/>
                <w:b/>
                <w:bCs/>
                <w:sz w:val="22"/>
                <w:szCs w:val="22"/>
              </w:rPr>
              <w:t>Table of Contents</w:t>
            </w:r>
            <w:r w:rsidRPr="00D5509E">
              <w:rPr>
                <w:rFonts w:ascii="Times New Roman" w:hAnsi="Times New Roman" w:cs="Times New Roman"/>
                <w:sz w:val="22"/>
                <w:szCs w:val="22"/>
              </w:rPr>
              <w:t xml:space="preserve"> for the KGC Mine Closure Plan, with a brief description of each section/chapter.</w:t>
            </w:r>
          </w:p>
        </w:tc>
      </w:tr>
      <w:tr w:rsidR="00B13244" w:rsidRPr="00D5509E" w14:paraId="042D9C9E" w14:textId="77777777" w:rsidTr="005330DF">
        <w:tblPrEx>
          <w:tblLook w:val="0000" w:firstRow="0" w:lastRow="0" w:firstColumn="0" w:lastColumn="0" w:noHBand="0" w:noVBand="0"/>
        </w:tblPrEx>
        <w:trPr>
          <w:trHeight w:val="4400"/>
        </w:trPr>
        <w:tc>
          <w:tcPr>
            <w:tcW w:w="339" w:type="pct"/>
          </w:tcPr>
          <w:p w14:paraId="7B5D4D8A"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lastRenderedPageBreak/>
              <w:t>9</w:t>
            </w:r>
          </w:p>
        </w:tc>
        <w:tc>
          <w:tcPr>
            <w:tcW w:w="1006" w:type="pct"/>
          </w:tcPr>
          <w:p w14:paraId="45749846" w14:textId="28944C95" w:rsidR="00B13244" w:rsidRPr="00D5509E" w:rsidRDefault="004E0002" w:rsidP="005330DF">
            <w:pPr>
              <w:rPr>
                <w:rFonts w:ascii="Times New Roman" w:hAnsi="Times New Roman" w:cs="Times New Roman"/>
                <w:sz w:val="22"/>
                <w:szCs w:val="22"/>
                <w:lang w:val="ky-KG"/>
              </w:rPr>
            </w:pPr>
            <w:r w:rsidRPr="00D5509E">
              <w:rPr>
                <w:rFonts w:ascii="Times New Roman" w:hAnsi="Times New Roman" w:cs="Times New Roman"/>
                <w:sz w:val="22"/>
                <w:szCs w:val="22"/>
              </w:rPr>
              <w:t xml:space="preserve">Document </w:t>
            </w:r>
            <w:r w:rsidRPr="00D5509E">
              <w:rPr>
                <w:rFonts w:ascii="Times New Roman" w:hAnsi="Times New Roman" w:cs="Times New Roman"/>
                <w:sz w:val="22"/>
                <w:szCs w:val="22"/>
                <w:lang w:val="ru-RU"/>
              </w:rPr>
              <w:t>а</w:t>
            </w:r>
            <w:r w:rsidRPr="00D5509E">
              <w:rPr>
                <w:rFonts w:ascii="Times New Roman" w:hAnsi="Times New Roman" w:cs="Times New Roman"/>
                <w:sz w:val="22"/>
                <w:szCs w:val="22"/>
              </w:rPr>
              <w:t xml:space="preserve">ormatting </w:t>
            </w:r>
            <w:r w:rsidRPr="00D5509E">
              <w:rPr>
                <w:rFonts w:ascii="Times New Roman" w:hAnsi="Times New Roman" w:cs="Times New Roman"/>
                <w:sz w:val="22"/>
                <w:szCs w:val="22"/>
                <w:lang w:val="ru-RU"/>
              </w:rPr>
              <w:t>к</w:t>
            </w:r>
            <w:r w:rsidRPr="00D5509E">
              <w:rPr>
                <w:rFonts w:ascii="Times New Roman" w:hAnsi="Times New Roman" w:cs="Times New Roman"/>
                <w:sz w:val="22"/>
                <w:szCs w:val="22"/>
              </w:rPr>
              <w:t>equirements</w:t>
            </w:r>
          </w:p>
          <w:p w14:paraId="25029A0F" w14:textId="77777777" w:rsidR="00B13244" w:rsidRPr="00D5509E" w:rsidRDefault="00B13244" w:rsidP="005330DF">
            <w:pPr>
              <w:rPr>
                <w:rFonts w:ascii="Times New Roman" w:hAnsi="Times New Roman" w:cs="Times New Roman"/>
                <w:sz w:val="22"/>
                <w:szCs w:val="22"/>
              </w:rPr>
            </w:pPr>
          </w:p>
        </w:tc>
        <w:tc>
          <w:tcPr>
            <w:tcW w:w="3655" w:type="pct"/>
          </w:tcPr>
          <w:p w14:paraId="6FDD091D" w14:textId="6ABF593B" w:rsidR="00B13244" w:rsidRPr="00D5509E" w:rsidRDefault="005B60CE" w:rsidP="00EE08AE">
            <w:pPr>
              <w:pStyle w:val="a7"/>
              <w:numPr>
                <w:ilvl w:val="0"/>
                <w:numId w:val="22"/>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Electronic deliverables shall be provided in editable Microsoft Office® formats (e.g., Word, Excel, Project, PowerPoint, etc.). All maps and spatial data shall be provided in GIS format compatible with MapInfo, as well as in AutoCAD format. The budget shall include five (5) hard copies of the final Mine Closure Plan.</w:t>
            </w:r>
          </w:p>
          <w:p w14:paraId="0DB38B4F" w14:textId="7A46AC0A" w:rsidR="00B13244" w:rsidRPr="00D5509E" w:rsidRDefault="005B60CE" w:rsidP="00EE08AE">
            <w:pPr>
              <w:pStyle w:val="a7"/>
              <w:numPr>
                <w:ilvl w:val="0"/>
                <w:numId w:val="22"/>
              </w:numPr>
              <w:spacing w:line="259" w:lineRule="auto"/>
              <w:jc w:val="both"/>
              <w:rPr>
                <w:rFonts w:ascii="Times New Roman" w:hAnsi="Times New Roman" w:cs="Times New Roman"/>
                <w:sz w:val="22"/>
                <w:szCs w:val="22"/>
              </w:rPr>
            </w:pPr>
            <w:r w:rsidRPr="00D5509E">
              <w:rPr>
                <w:rFonts w:ascii="Times New Roman" w:hAnsi="Times New Roman" w:cs="Times New Roman"/>
                <w:sz w:val="22"/>
                <w:szCs w:val="22"/>
              </w:rPr>
              <w:t>All deliverables shall be submitted in both Russian and English. Time shall be allocated for translation into the Kyrgyz language and for KGC approval of any documents required during stakeholder consultation processes. All reports shall be reviewed and edited by the Consultant prior to submission to KGC.</w:t>
            </w:r>
          </w:p>
          <w:p w14:paraId="3BF40D39" w14:textId="743ABC9E" w:rsidR="00B13244" w:rsidRPr="00D5509E" w:rsidRDefault="005B60CE" w:rsidP="005330DF">
            <w:pPr>
              <w:spacing w:line="259" w:lineRule="auto"/>
              <w:ind w:firstLine="360"/>
              <w:jc w:val="both"/>
              <w:rPr>
                <w:rFonts w:ascii="Times New Roman" w:hAnsi="Times New Roman" w:cs="Times New Roman"/>
                <w:sz w:val="22"/>
                <w:szCs w:val="22"/>
              </w:rPr>
            </w:pPr>
            <w:r w:rsidRPr="00D5509E">
              <w:rPr>
                <w:rFonts w:ascii="Times New Roman" w:hAnsi="Times New Roman" w:cs="Times New Roman"/>
                <w:sz w:val="22"/>
                <w:szCs w:val="22"/>
              </w:rPr>
              <w:t>The Consultant is expected to submit a preliminary summary report with key findings following the first site visit within two weeks, and the final version of the Mine Closure Plan within two weeks after receiving comments on the draft version. The Consultant may include the following review timeframes by Kumtor in the proposed schedule:</w:t>
            </w:r>
          </w:p>
          <w:p w14:paraId="1CAC0E0A" w14:textId="6FC42CEC" w:rsidR="00B13244" w:rsidRPr="00D5509E" w:rsidRDefault="007B793D" w:rsidP="00EE08AE">
            <w:pPr>
              <w:numPr>
                <w:ilvl w:val="0"/>
                <w:numId w:val="21"/>
              </w:numPr>
              <w:spacing w:line="259" w:lineRule="auto"/>
              <w:ind w:firstLine="812"/>
              <w:contextualSpacing/>
              <w:jc w:val="both"/>
              <w:rPr>
                <w:rFonts w:ascii="Times New Roman" w:hAnsi="Times New Roman" w:cs="Times New Roman"/>
                <w:sz w:val="22"/>
                <w:szCs w:val="22"/>
              </w:rPr>
            </w:pPr>
            <w:r w:rsidRPr="00D5509E">
              <w:rPr>
                <w:rFonts w:ascii="Times New Roman" w:hAnsi="Times New Roman" w:cs="Times New Roman"/>
                <w:sz w:val="22"/>
                <w:szCs w:val="22"/>
                <w:lang w:val="ru"/>
              </w:rPr>
              <w:t>Summary report: 1 week;</w:t>
            </w:r>
          </w:p>
          <w:p w14:paraId="0FA3504E" w14:textId="3DCBD562" w:rsidR="00B13244" w:rsidRPr="00D5509E" w:rsidRDefault="007B793D" w:rsidP="00EE08AE">
            <w:pPr>
              <w:numPr>
                <w:ilvl w:val="0"/>
                <w:numId w:val="21"/>
              </w:numPr>
              <w:spacing w:line="259" w:lineRule="auto"/>
              <w:ind w:firstLine="812"/>
              <w:contextualSpacing/>
              <w:jc w:val="both"/>
              <w:rPr>
                <w:rFonts w:ascii="Times New Roman" w:hAnsi="Times New Roman" w:cs="Times New Roman"/>
                <w:sz w:val="22"/>
                <w:szCs w:val="22"/>
              </w:rPr>
            </w:pPr>
            <w:r w:rsidRPr="00D5509E">
              <w:rPr>
                <w:rFonts w:ascii="Times New Roman" w:hAnsi="Times New Roman" w:cs="Times New Roman"/>
                <w:sz w:val="22"/>
                <w:szCs w:val="22"/>
              </w:rPr>
              <w:t>Draft Mine Closure Plan: 3 weeks;</w:t>
            </w:r>
          </w:p>
          <w:p w14:paraId="074C7C6F" w14:textId="130BA2E1" w:rsidR="00B13244" w:rsidRPr="00D5509E" w:rsidRDefault="007B793D" w:rsidP="005330DF">
            <w:pPr>
              <w:rPr>
                <w:rFonts w:ascii="Times New Roman" w:hAnsi="Times New Roman" w:cs="Times New Roman"/>
                <w:sz w:val="22"/>
                <w:szCs w:val="22"/>
              </w:rPr>
            </w:pPr>
            <w:r w:rsidRPr="00D5509E">
              <w:rPr>
                <w:rFonts w:ascii="Times New Roman" w:hAnsi="Times New Roman" w:cs="Times New Roman"/>
                <w:sz w:val="22"/>
                <w:szCs w:val="22"/>
              </w:rPr>
              <w:t>Final Mine Closure Plan: 2 weeks (subject to minor revisions).</w:t>
            </w:r>
          </w:p>
          <w:p w14:paraId="1C4E555D" w14:textId="77777777" w:rsidR="00B13244" w:rsidRPr="00D5509E" w:rsidRDefault="00B13244" w:rsidP="005330DF">
            <w:pPr>
              <w:rPr>
                <w:rFonts w:ascii="Times New Roman" w:hAnsi="Times New Roman" w:cs="Times New Roman"/>
                <w:sz w:val="22"/>
                <w:szCs w:val="22"/>
              </w:rPr>
            </w:pPr>
          </w:p>
        </w:tc>
      </w:tr>
      <w:tr w:rsidR="00B13244" w:rsidRPr="00D5509E" w14:paraId="6D9AFB8C" w14:textId="77777777" w:rsidTr="00A37F64">
        <w:tblPrEx>
          <w:tblLook w:val="0000" w:firstRow="0" w:lastRow="0" w:firstColumn="0" w:lastColumn="0" w:noHBand="0" w:noVBand="0"/>
        </w:tblPrEx>
        <w:trPr>
          <w:trHeight w:val="3320"/>
        </w:trPr>
        <w:tc>
          <w:tcPr>
            <w:tcW w:w="339" w:type="pct"/>
          </w:tcPr>
          <w:p w14:paraId="64DE05FB" w14:textId="77777777" w:rsidR="00B13244" w:rsidRPr="00D5509E" w:rsidRDefault="00B13244" w:rsidP="005330DF">
            <w:pPr>
              <w:jc w:val="center"/>
              <w:rPr>
                <w:rFonts w:ascii="Times New Roman" w:hAnsi="Times New Roman" w:cs="Times New Roman"/>
                <w:sz w:val="22"/>
                <w:szCs w:val="22"/>
              </w:rPr>
            </w:pPr>
            <w:r w:rsidRPr="00D5509E">
              <w:rPr>
                <w:rFonts w:ascii="Times New Roman" w:hAnsi="Times New Roman" w:cs="Times New Roman"/>
                <w:sz w:val="22"/>
                <w:szCs w:val="22"/>
              </w:rPr>
              <w:t>10</w:t>
            </w:r>
          </w:p>
        </w:tc>
        <w:tc>
          <w:tcPr>
            <w:tcW w:w="1006" w:type="pct"/>
          </w:tcPr>
          <w:p w14:paraId="34984AF2" w14:textId="6182FD95" w:rsidR="00B13244" w:rsidRPr="00D5509E" w:rsidRDefault="00B61F4E" w:rsidP="005330DF">
            <w:pPr>
              <w:rPr>
                <w:rFonts w:ascii="Times New Roman" w:hAnsi="Times New Roman" w:cs="Times New Roman"/>
                <w:sz w:val="22"/>
                <w:szCs w:val="22"/>
                <w:lang w:val="ky-KG"/>
              </w:rPr>
            </w:pPr>
            <w:r w:rsidRPr="00D5509E">
              <w:rPr>
                <w:rFonts w:ascii="Times New Roman" w:hAnsi="Times New Roman" w:cs="Times New Roman"/>
                <w:sz w:val="22"/>
                <w:szCs w:val="22"/>
                <w:lang w:val="ky-KG"/>
              </w:rPr>
              <w:t>Confidentiality</w:t>
            </w:r>
          </w:p>
        </w:tc>
        <w:tc>
          <w:tcPr>
            <w:tcW w:w="3655" w:type="pct"/>
          </w:tcPr>
          <w:p w14:paraId="517FFACF" w14:textId="2D472F2B" w:rsidR="00B13244" w:rsidRPr="00D5509E" w:rsidRDefault="00CE5678" w:rsidP="005330DF">
            <w:pPr>
              <w:spacing w:line="259" w:lineRule="auto"/>
              <w:ind w:firstLine="360"/>
              <w:jc w:val="both"/>
              <w:rPr>
                <w:rFonts w:ascii="Times New Roman" w:hAnsi="Times New Roman" w:cs="Times New Roman"/>
                <w:sz w:val="22"/>
                <w:szCs w:val="22"/>
                <w:lang w:val="ky-KG"/>
              </w:rPr>
            </w:pPr>
            <w:r w:rsidRPr="00D5509E">
              <w:rPr>
                <w:rFonts w:ascii="Times New Roman" w:hAnsi="Times New Roman" w:cs="Times New Roman"/>
                <w:sz w:val="22"/>
                <w:szCs w:val="22"/>
                <w:lang w:val="ky-KG"/>
              </w:rPr>
              <w:t>All information provided to or obtained from KGC in any form in connection with this Request for Proposals (Terms of Reference), both before and after its publication:</w:t>
            </w:r>
          </w:p>
          <w:p w14:paraId="35C5A952" w14:textId="639AD556" w:rsidR="00B13244" w:rsidRPr="00D5509E" w:rsidRDefault="00735D54" w:rsidP="00EE08AE">
            <w:pPr>
              <w:numPr>
                <w:ilvl w:val="0"/>
                <w:numId w:val="2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Sh</w:t>
            </w:r>
            <w:r w:rsidR="005B4B3E" w:rsidRPr="00D5509E">
              <w:rPr>
                <w:rFonts w:ascii="Times New Roman" w:hAnsi="Times New Roman" w:cs="Times New Roman"/>
                <w:sz w:val="22"/>
                <w:szCs w:val="22"/>
              </w:rPr>
              <w:t>ould</w:t>
            </w:r>
            <w:r w:rsidRPr="00D5509E">
              <w:rPr>
                <w:rFonts w:ascii="Times New Roman" w:hAnsi="Times New Roman" w:cs="Times New Roman"/>
                <w:sz w:val="22"/>
                <w:szCs w:val="22"/>
              </w:rPr>
              <w:t xml:space="preserve"> be considered the exclusive property of KGC and treated as confidential;</w:t>
            </w:r>
          </w:p>
          <w:p w14:paraId="7AFD8B9F" w14:textId="3A57BA9D" w:rsidR="00B13244" w:rsidRPr="00D5509E" w:rsidRDefault="005B4B3E" w:rsidP="00EE08AE">
            <w:pPr>
              <w:numPr>
                <w:ilvl w:val="0"/>
                <w:numId w:val="2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Should</w:t>
            </w:r>
            <w:r w:rsidR="00735D54" w:rsidRPr="00D5509E">
              <w:rPr>
                <w:rFonts w:ascii="Times New Roman" w:hAnsi="Times New Roman" w:cs="Times New Roman"/>
                <w:sz w:val="22"/>
                <w:szCs w:val="22"/>
              </w:rPr>
              <w:t xml:space="preserve"> not be used for any purposes other than responding to this request and performing any contract for the development of the Mine Closure Plan;</w:t>
            </w:r>
          </w:p>
          <w:p w14:paraId="6BE254FC" w14:textId="262E567E" w:rsidR="00B13244" w:rsidRPr="00D5509E" w:rsidRDefault="00A37F64" w:rsidP="00EE08AE">
            <w:pPr>
              <w:numPr>
                <w:ilvl w:val="0"/>
                <w:numId w:val="2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Shall be returned by the Consultant to KGC immediately upon request;</w:t>
            </w:r>
          </w:p>
          <w:p w14:paraId="64E33C0F" w14:textId="7C0201C4" w:rsidR="00B13244" w:rsidRPr="00D5509E" w:rsidRDefault="00A37F64" w:rsidP="00EE08AE">
            <w:pPr>
              <w:numPr>
                <w:ilvl w:val="0"/>
                <w:numId w:val="25"/>
              </w:numPr>
              <w:spacing w:line="259"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All intellectual property rights arising from the performance of this Technical Specification shall be transferred to KGC.</w:t>
            </w:r>
          </w:p>
          <w:p w14:paraId="7C83F6AB" w14:textId="77777777" w:rsidR="00B13244" w:rsidRPr="00D5509E" w:rsidRDefault="00B13244" w:rsidP="005330DF">
            <w:pPr>
              <w:ind w:left="720" w:right="29"/>
              <w:rPr>
                <w:rFonts w:ascii="Times New Roman" w:hAnsi="Times New Roman" w:cs="Times New Roman"/>
                <w:sz w:val="22"/>
                <w:szCs w:val="22"/>
              </w:rPr>
            </w:pPr>
          </w:p>
        </w:tc>
      </w:tr>
      <w:tr w:rsidR="00B13244" w:rsidRPr="00D5509E" w14:paraId="6477F5C3" w14:textId="77777777" w:rsidTr="005330DF">
        <w:tblPrEx>
          <w:tblLook w:val="0000" w:firstRow="0" w:lastRow="0" w:firstColumn="0" w:lastColumn="0" w:noHBand="0" w:noVBand="0"/>
        </w:tblPrEx>
        <w:trPr>
          <w:trHeight w:val="593"/>
        </w:trPr>
        <w:tc>
          <w:tcPr>
            <w:tcW w:w="339" w:type="pct"/>
          </w:tcPr>
          <w:p w14:paraId="6DB12CC2" w14:textId="77777777" w:rsidR="00B13244" w:rsidRPr="00D5509E" w:rsidRDefault="00B13244" w:rsidP="005330DF">
            <w:pPr>
              <w:jc w:val="center"/>
              <w:rPr>
                <w:rFonts w:ascii="Times New Roman" w:hAnsi="Times New Roman" w:cs="Times New Roman"/>
                <w:sz w:val="22"/>
                <w:szCs w:val="22"/>
                <w:lang w:val="ky-KG"/>
              </w:rPr>
            </w:pPr>
            <w:r w:rsidRPr="00D5509E">
              <w:rPr>
                <w:rFonts w:ascii="Times New Roman" w:hAnsi="Times New Roman" w:cs="Times New Roman"/>
                <w:sz w:val="22"/>
                <w:szCs w:val="22"/>
                <w:lang w:val="ky-KG"/>
              </w:rPr>
              <w:t>11</w:t>
            </w:r>
          </w:p>
        </w:tc>
        <w:tc>
          <w:tcPr>
            <w:tcW w:w="1006" w:type="pct"/>
          </w:tcPr>
          <w:p w14:paraId="410EF4E7" w14:textId="7BE066CE" w:rsidR="00B13244" w:rsidRPr="00D5509E" w:rsidRDefault="00D959EF" w:rsidP="005330DF">
            <w:pPr>
              <w:rPr>
                <w:rFonts w:ascii="Times New Roman" w:hAnsi="Times New Roman" w:cs="Times New Roman"/>
                <w:sz w:val="22"/>
                <w:szCs w:val="22"/>
              </w:rPr>
            </w:pPr>
            <w:r w:rsidRPr="00D5509E">
              <w:rPr>
                <w:rFonts w:ascii="Times New Roman" w:hAnsi="Times New Roman" w:cs="Times New Roman"/>
                <w:sz w:val="22"/>
                <w:szCs w:val="22"/>
                <w:lang w:val="ky-KG"/>
              </w:rPr>
              <w:t xml:space="preserve">Terms </w:t>
            </w:r>
            <w:r w:rsidRPr="00D5509E">
              <w:rPr>
                <w:rFonts w:ascii="Times New Roman" w:hAnsi="Times New Roman" w:cs="Times New Roman"/>
                <w:sz w:val="22"/>
                <w:szCs w:val="22"/>
              </w:rPr>
              <w:t>of p</w:t>
            </w:r>
            <w:r w:rsidR="003A3E86" w:rsidRPr="00D5509E">
              <w:rPr>
                <w:rFonts w:ascii="Times New Roman" w:hAnsi="Times New Roman" w:cs="Times New Roman"/>
                <w:sz w:val="22"/>
                <w:szCs w:val="22"/>
                <w:lang w:val="ky-KG"/>
              </w:rPr>
              <w:t xml:space="preserve">ayment and </w:t>
            </w:r>
            <w:r w:rsidR="00FC2731" w:rsidRPr="00D5509E">
              <w:rPr>
                <w:rFonts w:ascii="Times New Roman" w:hAnsi="Times New Roman" w:cs="Times New Roman"/>
                <w:sz w:val="22"/>
                <w:szCs w:val="22"/>
              </w:rPr>
              <w:t>terms of w</w:t>
            </w:r>
            <w:r w:rsidR="003A3E86" w:rsidRPr="00D5509E">
              <w:rPr>
                <w:rFonts w:ascii="Times New Roman" w:hAnsi="Times New Roman" w:cs="Times New Roman"/>
                <w:sz w:val="22"/>
                <w:szCs w:val="22"/>
                <w:lang w:val="ky-KG"/>
              </w:rPr>
              <w:t>ork</w:t>
            </w:r>
          </w:p>
        </w:tc>
        <w:tc>
          <w:tcPr>
            <w:tcW w:w="3655" w:type="pct"/>
          </w:tcPr>
          <w:p w14:paraId="75D62771" w14:textId="36070E67" w:rsidR="00B13244" w:rsidRPr="00D5509E" w:rsidRDefault="00633086" w:rsidP="005330DF">
            <w:pPr>
              <w:rPr>
                <w:rFonts w:ascii="Times New Roman" w:hAnsi="Times New Roman" w:cs="Times New Roman"/>
                <w:bCs/>
                <w:sz w:val="22"/>
                <w:szCs w:val="22"/>
              </w:rPr>
            </w:pPr>
            <w:r w:rsidRPr="00D5509E">
              <w:rPr>
                <w:rFonts w:ascii="Times New Roman" w:hAnsi="Times New Roman" w:cs="Times New Roman"/>
                <w:bCs/>
                <w:sz w:val="22"/>
                <w:szCs w:val="22"/>
              </w:rPr>
              <w:t>Payment terms shall be agreed upon in the Contract.</w:t>
            </w:r>
          </w:p>
          <w:p w14:paraId="33B41EFA" w14:textId="7A551C1F" w:rsidR="00B13244" w:rsidRPr="00D5509E" w:rsidRDefault="00633086" w:rsidP="005330DF">
            <w:pPr>
              <w:rPr>
                <w:rFonts w:ascii="Times New Roman" w:hAnsi="Times New Roman" w:cs="Times New Roman"/>
                <w:sz w:val="22"/>
                <w:szCs w:val="22"/>
              </w:rPr>
            </w:pPr>
            <w:r w:rsidRPr="00D5509E">
              <w:rPr>
                <w:rFonts w:ascii="Times New Roman" w:hAnsi="Times New Roman" w:cs="Times New Roman"/>
                <w:sz w:val="22"/>
                <w:szCs w:val="22"/>
              </w:rPr>
              <w:t>The work completion deadline is November 1, 2026.</w:t>
            </w:r>
          </w:p>
          <w:p w14:paraId="2015194A" w14:textId="77777777" w:rsidR="00B13244" w:rsidRPr="00D5509E" w:rsidRDefault="00B13244" w:rsidP="005330DF">
            <w:pPr>
              <w:rPr>
                <w:rFonts w:ascii="Times New Roman" w:hAnsi="Times New Roman" w:cs="Times New Roman"/>
                <w:sz w:val="22"/>
                <w:szCs w:val="22"/>
              </w:rPr>
            </w:pPr>
          </w:p>
        </w:tc>
      </w:tr>
      <w:tr w:rsidR="00B13244" w:rsidRPr="004738B4" w14:paraId="4A331420" w14:textId="77777777" w:rsidTr="005330DF">
        <w:tblPrEx>
          <w:tblLook w:val="0000" w:firstRow="0" w:lastRow="0" w:firstColumn="0" w:lastColumn="0" w:noHBand="0" w:noVBand="0"/>
        </w:tblPrEx>
        <w:trPr>
          <w:trHeight w:val="60"/>
        </w:trPr>
        <w:tc>
          <w:tcPr>
            <w:tcW w:w="339" w:type="pct"/>
          </w:tcPr>
          <w:p w14:paraId="691C176C" w14:textId="77777777" w:rsidR="00B13244" w:rsidRPr="00D5509E" w:rsidRDefault="00B13244" w:rsidP="005330DF">
            <w:pPr>
              <w:jc w:val="center"/>
              <w:rPr>
                <w:rFonts w:ascii="Times New Roman" w:hAnsi="Times New Roman" w:cs="Times New Roman"/>
                <w:sz w:val="22"/>
                <w:szCs w:val="22"/>
                <w:lang w:val="ky-KG"/>
              </w:rPr>
            </w:pPr>
            <w:r w:rsidRPr="00D5509E">
              <w:rPr>
                <w:rFonts w:ascii="Times New Roman" w:hAnsi="Times New Roman" w:cs="Times New Roman"/>
                <w:sz w:val="22"/>
                <w:szCs w:val="22"/>
              </w:rPr>
              <w:t>1</w:t>
            </w:r>
            <w:r w:rsidRPr="00D5509E">
              <w:rPr>
                <w:rFonts w:ascii="Times New Roman" w:hAnsi="Times New Roman" w:cs="Times New Roman"/>
                <w:sz w:val="22"/>
                <w:szCs w:val="22"/>
                <w:lang w:val="ky-KG"/>
              </w:rPr>
              <w:t>2</w:t>
            </w:r>
          </w:p>
        </w:tc>
        <w:tc>
          <w:tcPr>
            <w:tcW w:w="1006" w:type="pct"/>
          </w:tcPr>
          <w:p w14:paraId="75BB856A" w14:textId="0D9A2B49" w:rsidR="00B13244" w:rsidRPr="00D5509E" w:rsidRDefault="00EB3B60" w:rsidP="005330DF">
            <w:pPr>
              <w:rPr>
                <w:rFonts w:ascii="Times New Roman" w:hAnsi="Times New Roman" w:cs="Times New Roman"/>
                <w:sz w:val="22"/>
                <w:szCs w:val="22"/>
              </w:rPr>
            </w:pPr>
            <w:r w:rsidRPr="00D5509E">
              <w:rPr>
                <w:rFonts w:ascii="Times New Roman" w:hAnsi="Times New Roman" w:cs="Times New Roman"/>
                <w:sz w:val="22"/>
                <w:szCs w:val="22"/>
              </w:rPr>
              <w:t>Materials and services provided by the Customer</w:t>
            </w:r>
          </w:p>
        </w:tc>
        <w:tc>
          <w:tcPr>
            <w:tcW w:w="3655" w:type="pct"/>
          </w:tcPr>
          <w:p w14:paraId="35FA2506" w14:textId="64CD2C45" w:rsidR="00B13244" w:rsidRPr="00D5509E" w:rsidRDefault="00E74298" w:rsidP="005330DF">
            <w:pPr>
              <w:ind w:firstLine="360"/>
              <w:jc w:val="both"/>
              <w:rPr>
                <w:rFonts w:ascii="Times New Roman" w:hAnsi="Times New Roman" w:cs="Times New Roman"/>
                <w:sz w:val="22"/>
                <w:szCs w:val="22"/>
              </w:rPr>
            </w:pPr>
            <w:r w:rsidRPr="00D5509E">
              <w:rPr>
                <w:rFonts w:ascii="Times New Roman" w:hAnsi="Times New Roman" w:cs="Times New Roman"/>
                <w:sz w:val="22"/>
                <w:szCs w:val="22"/>
              </w:rPr>
              <w:t xml:space="preserve">To assist the Consultant in preparing the proposal for the 2026 Mine Closure Plan, the following information will be available for download in PDF format upon </w:t>
            </w:r>
            <w:r w:rsidR="00760CF2" w:rsidRPr="00D5509E">
              <w:rPr>
                <w:rFonts w:ascii="Times New Roman" w:hAnsi="Times New Roman" w:cs="Times New Roman"/>
                <w:sz w:val="22"/>
                <w:szCs w:val="22"/>
              </w:rPr>
              <w:t>approval of the Non-Disclosure</w:t>
            </w:r>
            <w:r w:rsidRPr="00D5509E">
              <w:rPr>
                <w:rFonts w:ascii="Times New Roman" w:hAnsi="Times New Roman" w:cs="Times New Roman"/>
                <w:sz w:val="22"/>
                <w:szCs w:val="22"/>
              </w:rPr>
              <w:t xml:space="preserve"> </w:t>
            </w:r>
            <w:r w:rsidR="00760CF2" w:rsidRPr="00D5509E">
              <w:rPr>
                <w:rFonts w:ascii="Times New Roman" w:hAnsi="Times New Roman" w:cs="Times New Roman"/>
                <w:sz w:val="22"/>
                <w:szCs w:val="22"/>
              </w:rPr>
              <w:t>A</w:t>
            </w:r>
            <w:r w:rsidRPr="00D5509E">
              <w:rPr>
                <w:rFonts w:ascii="Times New Roman" w:hAnsi="Times New Roman" w:cs="Times New Roman"/>
                <w:sz w:val="22"/>
                <w:szCs w:val="22"/>
              </w:rPr>
              <w:t>greement</w:t>
            </w:r>
            <w:r w:rsidR="00760CF2" w:rsidRPr="00D5509E">
              <w:rPr>
                <w:rFonts w:ascii="Times New Roman" w:hAnsi="Times New Roman" w:cs="Times New Roman"/>
                <w:sz w:val="22"/>
                <w:szCs w:val="22"/>
              </w:rPr>
              <w:t xml:space="preserve"> (NDA)</w:t>
            </w:r>
            <w:r w:rsidRPr="00D5509E">
              <w:rPr>
                <w:rFonts w:ascii="Times New Roman" w:hAnsi="Times New Roman" w:cs="Times New Roman"/>
                <w:sz w:val="22"/>
                <w:szCs w:val="22"/>
              </w:rPr>
              <w:t>:</w:t>
            </w:r>
          </w:p>
          <w:p w14:paraId="586B3836" w14:textId="46AED48D" w:rsidR="00B13244" w:rsidRPr="00D5509E" w:rsidRDefault="002F53A5" w:rsidP="00EE08AE">
            <w:pPr>
              <w:pStyle w:val="a7"/>
              <w:numPr>
                <w:ilvl w:val="0"/>
                <w:numId w:val="24"/>
              </w:numPr>
              <w:spacing w:after="0" w:line="240" w:lineRule="auto"/>
              <w:ind w:left="463" w:hanging="425"/>
              <w:jc w:val="both"/>
              <w:rPr>
                <w:rFonts w:ascii="Times New Roman" w:hAnsi="Times New Roman" w:cs="Times New Roman"/>
                <w:sz w:val="22"/>
                <w:szCs w:val="22"/>
              </w:rPr>
            </w:pPr>
            <w:r w:rsidRPr="00D5509E">
              <w:rPr>
                <w:rFonts w:ascii="Times New Roman" w:hAnsi="Times New Roman" w:cs="Times New Roman"/>
                <w:sz w:val="22"/>
                <w:szCs w:val="22"/>
                <w:lang w:val="ky-KG"/>
              </w:rPr>
              <w:t>Behre Dolbear,</w:t>
            </w:r>
            <w:r w:rsidRPr="00D5509E">
              <w:rPr>
                <w:rFonts w:ascii="Times New Roman" w:hAnsi="Times New Roman" w:cs="Times New Roman"/>
                <w:i/>
                <w:iCs/>
                <w:sz w:val="22"/>
                <w:szCs w:val="22"/>
                <w:lang w:val="ky-KG"/>
              </w:rPr>
              <w:t xml:space="preserve"> “Kumtor Conceptual Mine Closure Plan (2023)”, January 2024;</w:t>
            </w:r>
          </w:p>
          <w:p w14:paraId="24585213" w14:textId="171EB996" w:rsidR="00B13244" w:rsidRPr="00D5509E" w:rsidRDefault="00BD7FAB" w:rsidP="00EE08AE">
            <w:pPr>
              <w:pStyle w:val="a7"/>
              <w:numPr>
                <w:ilvl w:val="0"/>
                <w:numId w:val="24"/>
              </w:numPr>
              <w:spacing w:after="0" w:line="240" w:lineRule="auto"/>
              <w:ind w:left="463" w:hanging="425"/>
              <w:jc w:val="both"/>
              <w:rPr>
                <w:rFonts w:ascii="Times New Roman" w:hAnsi="Times New Roman" w:cs="Times New Roman"/>
                <w:sz w:val="22"/>
                <w:szCs w:val="22"/>
              </w:rPr>
            </w:pPr>
            <w:r w:rsidRPr="00D5509E">
              <w:rPr>
                <w:rFonts w:ascii="Times New Roman" w:hAnsi="Times New Roman" w:cs="Times New Roman"/>
                <w:iCs/>
                <w:sz w:val="22"/>
                <w:szCs w:val="22"/>
              </w:rPr>
              <w:t>SRK Consulting</w:t>
            </w:r>
            <w:r w:rsidRPr="00D5509E">
              <w:rPr>
                <w:rFonts w:ascii="Times New Roman" w:hAnsi="Times New Roman" w:cs="Times New Roman"/>
                <w:i/>
                <w:sz w:val="22"/>
                <w:szCs w:val="22"/>
              </w:rPr>
              <w:t xml:space="preserve">, “Kumtor Conceptual Mine Closure Plan (2019)”, </w:t>
            </w:r>
            <w:r w:rsidRPr="00D5509E">
              <w:rPr>
                <w:rFonts w:ascii="Times New Roman" w:hAnsi="Times New Roman" w:cs="Times New Roman"/>
                <w:iCs/>
                <w:sz w:val="22"/>
                <w:szCs w:val="22"/>
              </w:rPr>
              <w:t>December 2019;</w:t>
            </w:r>
          </w:p>
          <w:p w14:paraId="6B51704D" w14:textId="4C646287" w:rsidR="00B13244" w:rsidRPr="00D5509E" w:rsidRDefault="00F9344D"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iCs/>
                <w:sz w:val="22"/>
                <w:szCs w:val="22"/>
              </w:rPr>
              <w:lastRenderedPageBreak/>
              <w:t>KGC,</w:t>
            </w:r>
            <w:r w:rsidRPr="00D5509E">
              <w:rPr>
                <w:rFonts w:ascii="Times New Roman" w:hAnsi="Times New Roman" w:cs="Times New Roman"/>
                <w:i/>
                <w:sz w:val="22"/>
                <w:szCs w:val="22"/>
              </w:rPr>
              <w:t xml:space="preserve"> “Updated Technical Report on Kumtor Mine”;</w:t>
            </w:r>
          </w:p>
          <w:p w14:paraId="2E4E2C2A" w14:textId="005EE636" w:rsidR="00B13244" w:rsidRPr="00D5509E" w:rsidRDefault="00C02861"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KGC, </w:t>
            </w:r>
            <w:r w:rsidRPr="00D5509E">
              <w:rPr>
                <w:rFonts w:ascii="Times New Roman" w:hAnsi="Times New Roman" w:cs="Times New Roman"/>
                <w:i/>
                <w:iCs/>
                <w:sz w:val="22"/>
                <w:szCs w:val="22"/>
              </w:rPr>
              <w:t xml:space="preserve">“Annual Environmental Report” </w:t>
            </w:r>
            <w:r w:rsidRPr="00D5509E">
              <w:rPr>
                <w:rFonts w:ascii="Times New Roman" w:hAnsi="Times New Roman" w:cs="Times New Roman"/>
                <w:sz w:val="22"/>
                <w:szCs w:val="22"/>
              </w:rPr>
              <w:t xml:space="preserve">for </w:t>
            </w:r>
            <w:r w:rsidR="003956E2" w:rsidRPr="00D5509E">
              <w:rPr>
                <w:rFonts w:ascii="Times New Roman" w:hAnsi="Times New Roman" w:cs="Times New Roman"/>
                <w:sz w:val="22"/>
                <w:szCs w:val="22"/>
              </w:rPr>
              <w:t>2025;</w:t>
            </w:r>
          </w:p>
          <w:p w14:paraId="08011A35" w14:textId="73972E7E" w:rsidR="00B13244" w:rsidRPr="00D5509E" w:rsidRDefault="004E3661"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iCs/>
                <w:sz w:val="22"/>
                <w:szCs w:val="22"/>
              </w:rPr>
              <w:t>Arcadis,</w:t>
            </w:r>
            <w:r w:rsidRPr="00D5509E">
              <w:rPr>
                <w:rFonts w:ascii="Times New Roman" w:hAnsi="Times New Roman" w:cs="Times New Roman"/>
                <w:i/>
                <w:sz w:val="22"/>
                <w:szCs w:val="22"/>
              </w:rPr>
              <w:t xml:space="preserve"> “Cost Analysis in Case of Emergency Shutdown of Kumtor Mine”, </w:t>
            </w:r>
            <w:r w:rsidRPr="00D5509E">
              <w:rPr>
                <w:rFonts w:ascii="Times New Roman" w:hAnsi="Times New Roman" w:cs="Times New Roman"/>
                <w:iCs/>
                <w:sz w:val="22"/>
                <w:szCs w:val="22"/>
              </w:rPr>
              <w:t>September 2018;</w:t>
            </w:r>
          </w:p>
          <w:p w14:paraId="2D5719A7" w14:textId="7978BD43" w:rsidR="00B13244" w:rsidRPr="00D5509E" w:rsidRDefault="003956E2"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Kumtor Gold Company, “</w:t>
            </w:r>
            <w:r w:rsidRPr="00D5509E">
              <w:rPr>
                <w:rFonts w:ascii="Times New Roman" w:hAnsi="Times New Roman" w:cs="Times New Roman"/>
                <w:i/>
                <w:iCs/>
                <w:sz w:val="22"/>
                <w:szCs w:val="22"/>
              </w:rPr>
              <w:t>Environmental Action Plan</w:t>
            </w:r>
            <w:r w:rsidRPr="00D5509E">
              <w:rPr>
                <w:rFonts w:ascii="Times New Roman" w:hAnsi="Times New Roman" w:cs="Times New Roman"/>
                <w:sz w:val="22"/>
                <w:szCs w:val="22"/>
              </w:rPr>
              <w:t>”, 2025;</w:t>
            </w:r>
          </w:p>
          <w:p w14:paraId="017FF091" w14:textId="684D0DE9" w:rsidR="00B13244" w:rsidRPr="00D5509E" w:rsidRDefault="008D135B"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KGC environmental monitoring data (see appendix to the 2025 Annual Environmental Report);</w:t>
            </w:r>
          </w:p>
          <w:p w14:paraId="243C9670" w14:textId="0D6069D6" w:rsidR="00B13244" w:rsidRPr="00D5509E" w:rsidRDefault="00CF0DCB"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Institute of Biology, National Academy of Sciences of the Kyrgyz Republic, </w:t>
            </w:r>
            <w:r w:rsidRPr="00D5509E">
              <w:rPr>
                <w:rFonts w:ascii="Times New Roman" w:hAnsi="Times New Roman" w:cs="Times New Roman"/>
                <w:i/>
                <w:iCs/>
                <w:sz w:val="22"/>
                <w:szCs w:val="22"/>
              </w:rPr>
              <w:t>“Report on Monitoring and Study of Biodiversity within the Kumtor Concession Area and Adjacent Territory, as well as the Naryn River”,</w:t>
            </w:r>
            <w:r w:rsidRPr="00D5509E">
              <w:rPr>
                <w:rFonts w:ascii="Times New Roman" w:hAnsi="Times New Roman" w:cs="Times New Roman"/>
                <w:sz w:val="22"/>
                <w:szCs w:val="22"/>
              </w:rPr>
              <w:t xml:space="preserve"> 2024;</w:t>
            </w:r>
          </w:p>
          <w:p w14:paraId="4363FD29" w14:textId="53BB3B2D" w:rsidR="00B13244" w:rsidRPr="00D5509E" w:rsidRDefault="00744F2F"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Prisma, </w:t>
            </w:r>
            <w:r w:rsidRPr="00D5509E">
              <w:rPr>
                <w:rFonts w:ascii="Times New Roman" w:hAnsi="Times New Roman" w:cs="Times New Roman"/>
                <w:i/>
                <w:iCs/>
                <w:sz w:val="22"/>
                <w:szCs w:val="22"/>
              </w:rPr>
              <w:t>“Annual Wildlife Survey Report for the Tailings Management Facility (TMF) Area, 2019”</w:t>
            </w:r>
            <w:r w:rsidRPr="00D5509E">
              <w:rPr>
                <w:rFonts w:ascii="Times New Roman" w:hAnsi="Times New Roman" w:cs="Times New Roman"/>
                <w:sz w:val="22"/>
                <w:szCs w:val="22"/>
              </w:rPr>
              <w:t xml:space="preserve">, January </w:t>
            </w:r>
            <w:r w:rsidR="00323AFE" w:rsidRPr="00D5509E">
              <w:rPr>
                <w:rFonts w:ascii="Times New Roman" w:hAnsi="Times New Roman" w:cs="Times New Roman"/>
                <w:sz w:val="22"/>
                <w:szCs w:val="22"/>
              </w:rPr>
              <w:t>2020;</w:t>
            </w:r>
          </w:p>
          <w:p w14:paraId="6DF3F541" w14:textId="22257121" w:rsidR="00B13244" w:rsidRPr="00D5509E" w:rsidRDefault="00323AFE"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KGC, Socio-Economic Baseline Study for Issyk-Kul Region, January 2015;</w:t>
            </w:r>
          </w:p>
          <w:p w14:paraId="4314C197" w14:textId="05EC0648" w:rsidR="00B13244" w:rsidRPr="00D5509E" w:rsidRDefault="00323AFE"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University of Central Asia, </w:t>
            </w:r>
            <w:r w:rsidRPr="00D5509E">
              <w:rPr>
                <w:rFonts w:ascii="Times New Roman" w:hAnsi="Times New Roman" w:cs="Times New Roman"/>
                <w:i/>
                <w:iCs/>
                <w:sz w:val="22"/>
                <w:szCs w:val="22"/>
              </w:rPr>
              <w:t>“Impact of the Kumtor Gold Mine on the Economic and Social Development of the Kyrgyz Republic”</w:t>
            </w:r>
            <w:r w:rsidRPr="00D5509E">
              <w:rPr>
                <w:rFonts w:ascii="Times New Roman" w:hAnsi="Times New Roman" w:cs="Times New Roman"/>
                <w:sz w:val="22"/>
                <w:szCs w:val="22"/>
              </w:rPr>
              <w:t xml:space="preserve">, Working Paper No. 32, </w:t>
            </w:r>
            <w:r w:rsidR="00AA6CDC" w:rsidRPr="00D5509E">
              <w:rPr>
                <w:rFonts w:ascii="Times New Roman" w:hAnsi="Times New Roman" w:cs="Times New Roman"/>
                <w:sz w:val="22"/>
                <w:szCs w:val="22"/>
              </w:rPr>
              <w:t>2015;</w:t>
            </w:r>
          </w:p>
          <w:p w14:paraId="0E5384D1" w14:textId="29C59A0E" w:rsidR="00B13244" w:rsidRPr="00D5509E" w:rsidRDefault="00E608C9"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Kyrgyz National Agrarian University, </w:t>
            </w:r>
            <w:r w:rsidRPr="00D5509E">
              <w:rPr>
                <w:rFonts w:ascii="Times New Roman" w:hAnsi="Times New Roman" w:cs="Times New Roman"/>
                <w:i/>
                <w:iCs/>
                <w:sz w:val="22"/>
                <w:szCs w:val="22"/>
              </w:rPr>
              <w:t>“Measures for Reclamation of Topsoil at Kumtor Mine”,</w:t>
            </w:r>
            <w:r w:rsidRPr="00D5509E">
              <w:rPr>
                <w:rFonts w:ascii="Times New Roman" w:hAnsi="Times New Roman" w:cs="Times New Roman"/>
                <w:sz w:val="22"/>
                <w:szCs w:val="22"/>
              </w:rPr>
              <w:t xml:space="preserve"> December 2021.</w:t>
            </w:r>
          </w:p>
          <w:p w14:paraId="351AF9ED" w14:textId="67561AF9" w:rsidR="00B13244" w:rsidRPr="00D5509E" w:rsidRDefault="00ED218E"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BGC Engineering Inc., </w:t>
            </w:r>
            <w:r w:rsidRPr="00D5509E">
              <w:rPr>
                <w:rFonts w:ascii="Times New Roman" w:hAnsi="Times New Roman" w:cs="Times New Roman"/>
                <w:i/>
                <w:iCs/>
                <w:sz w:val="22"/>
                <w:szCs w:val="22"/>
              </w:rPr>
              <w:t>“Kumtor Tailings Management Facility – Hydrotechnical Assessment / Design Flood Assessment for Upper Diversion Channel”</w:t>
            </w:r>
            <w:r w:rsidRPr="00D5509E">
              <w:rPr>
                <w:rFonts w:ascii="Times New Roman" w:hAnsi="Times New Roman" w:cs="Times New Roman"/>
                <w:sz w:val="22"/>
                <w:szCs w:val="22"/>
              </w:rPr>
              <w:t xml:space="preserve">, Project #0404–025, February </w:t>
            </w:r>
            <w:r w:rsidR="00F02E27" w:rsidRPr="00D5509E">
              <w:rPr>
                <w:rFonts w:ascii="Times New Roman" w:hAnsi="Times New Roman" w:cs="Times New Roman"/>
                <w:sz w:val="22"/>
                <w:szCs w:val="22"/>
              </w:rPr>
              <w:t>2021;</w:t>
            </w:r>
          </w:p>
          <w:p w14:paraId="66F2D52F" w14:textId="0ADDC451" w:rsidR="00B13244" w:rsidRPr="00D5509E" w:rsidRDefault="00B138C5" w:rsidP="00EE08AE">
            <w:pPr>
              <w:numPr>
                <w:ilvl w:val="0"/>
                <w:numId w:val="23"/>
              </w:numPr>
              <w:spacing w:after="0" w:line="240" w:lineRule="auto"/>
              <w:contextualSpacing/>
              <w:jc w:val="both"/>
              <w:rPr>
                <w:rFonts w:ascii="Times New Roman" w:hAnsi="Times New Roman" w:cs="Times New Roman"/>
                <w:sz w:val="22"/>
                <w:szCs w:val="22"/>
              </w:rPr>
            </w:pPr>
            <w:r w:rsidRPr="00D5509E">
              <w:t xml:space="preserve"> </w:t>
            </w:r>
            <w:r w:rsidRPr="00D5509E">
              <w:rPr>
                <w:rFonts w:ascii="Times New Roman" w:hAnsi="Times New Roman" w:cs="Times New Roman"/>
                <w:i/>
                <w:iCs/>
                <w:sz w:val="22"/>
                <w:szCs w:val="22"/>
              </w:rPr>
              <w:t>“Assessment of Flood Risk from Lake Petrov Outburst”</w:t>
            </w:r>
            <w:r w:rsidRPr="00D5509E">
              <w:rPr>
                <w:rFonts w:ascii="Times New Roman" w:hAnsi="Times New Roman" w:cs="Times New Roman"/>
                <w:sz w:val="22"/>
                <w:szCs w:val="22"/>
              </w:rPr>
              <w:t xml:space="preserve">, December </w:t>
            </w:r>
            <w:r w:rsidR="00F02E27" w:rsidRPr="00D5509E">
              <w:rPr>
                <w:rFonts w:ascii="Times New Roman" w:hAnsi="Times New Roman" w:cs="Times New Roman"/>
                <w:sz w:val="22"/>
                <w:szCs w:val="22"/>
              </w:rPr>
              <w:t>2020;</w:t>
            </w:r>
          </w:p>
          <w:p w14:paraId="0CE94EFC" w14:textId="2064963F" w:rsidR="00B13244" w:rsidRPr="00D5509E" w:rsidRDefault="00B138C5"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Scientific and Engineering Laboratory “Geotechnical Stability”, </w:t>
            </w:r>
            <w:r w:rsidRPr="00D5509E">
              <w:rPr>
                <w:rFonts w:ascii="Times New Roman" w:hAnsi="Times New Roman" w:cs="Times New Roman"/>
                <w:i/>
                <w:iCs/>
                <w:sz w:val="22"/>
                <w:szCs w:val="22"/>
              </w:rPr>
              <w:t xml:space="preserve">“Recommendations on Instrumentation System for the Natural Moraine Dam of </w:t>
            </w:r>
            <w:r w:rsidR="002F4AF8" w:rsidRPr="00D5509E">
              <w:rPr>
                <w:rFonts w:ascii="Times New Roman" w:hAnsi="Times New Roman" w:cs="Times New Roman"/>
                <w:i/>
                <w:iCs/>
                <w:sz w:val="22"/>
                <w:szCs w:val="22"/>
              </w:rPr>
              <w:t xml:space="preserve">Petrov </w:t>
            </w:r>
            <w:r w:rsidRPr="00D5509E">
              <w:rPr>
                <w:rFonts w:ascii="Times New Roman" w:hAnsi="Times New Roman" w:cs="Times New Roman"/>
                <w:i/>
                <w:iCs/>
                <w:sz w:val="22"/>
                <w:szCs w:val="22"/>
              </w:rPr>
              <w:t>Lake”</w:t>
            </w:r>
            <w:r w:rsidRPr="00D5509E">
              <w:rPr>
                <w:rFonts w:ascii="Times New Roman" w:hAnsi="Times New Roman" w:cs="Times New Roman"/>
                <w:sz w:val="22"/>
                <w:szCs w:val="22"/>
              </w:rPr>
              <w:t xml:space="preserve">, December </w:t>
            </w:r>
            <w:r w:rsidR="00F02E27" w:rsidRPr="00D5509E">
              <w:rPr>
                <w:rFonts w:ascii="Times New Roman" w:hAnsi="Times New Roman" w:cs="Times New Roman"/>
                <w:sz w:val="22"/>
                <w:szCs w:val="22"/>
              </w:rPr>
              <w:t>2015;</w:t>
            </w:r>
          </w:p>
          <w:p w14:paraId="6D87C407" w14:textId="28E00D98" w:rsidR="00B13244" w:rsidRPr="00D5509E" w:rsidRDefault="00482F0D"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Standardized Reclamation Cost Estimator (SRCE) User Guide, Version 1.4.1, public release, July 2017;</w:t>
            </w:r>
          </w:p>
          <w:p w14:paraId="0C784060" w14:textId="000C126D" w:rsidR="00B13244" w:rsidRPr="00D5509E" w:rsidRDefault="0002372A"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 xml:space="preserve">KGC, </w:t>
            </w:r>
            <w:r w:rsidR="00482F0D" w:rsidRPr="00D5509E">
              <w:rPr>
                <w:rFonts w:ascii="Times New Roman" w:hAnsi="Times New Roman" w:cs="Times New Roman"/>
                <w:sz w:val="22"/>
                <w:szCs w:val="22"/>
              </w:rPr>
              <w:t>high-resolution aerial imagery of the mine area and concession boundary, August 2026;</w:t>
            </w:r>
          </w:p>
          <w:p w14:paraId="7C4A51DA" w14:textId="03AA016D" w:rsidR="00B13244" w:rsidRPr="00D5509E" w:rsidRDefault="004738B4" w:rsidP="00EE08AE">
            <w:pPr>
              <w:numPr>
                <w:ilvl w:val="0"/>
                <w:numId w:val="23"/>
              </w:numPr>
              <w:spacing w:after="0" w:line="240" w:lineRule="auto"/>
              <w:contextualSpacing/>
              <w:jc w:val="both"/>
              <w:rPr>
                <w:rFonts w:ascii="Times New Roman" w:hAnsi="Times New Roman" w:cs="Times New Roman"/>
                <w:sz w:val="22"/>
                <w:szCs w:val="22"/>
              </w:rPr>
            </w:pPr>
            <w:r w:rsidRPr="00D5509E">
              <w:rPr>
                <w:rFonts w:ascii="Times New Roman" w:hAnsi="Times New Roman" w:cs="Times New Roman"/>
                <w:sz w:val="22"/>
                <w:szCs w:val="22"/>
              </w:rPr>
              <w:t>Lorax Environmental, Mine Closure Animation based on the 2013 Mine Closure Plan, September 2015.</w:t>
            </w:r>
          </w:p>
        </w:tc>
      </w:tr>
    </w:tbl>
    <w:p w14:paraId="2497FA40" w14:textId="77777777" w:rsidR="00B13244" w:rsidRPr="004738B4" w:rsidRDefault="00B13244" w:rsidP="00B13244">
      <w:pPr>
        <w:rPr>
          <w:rFonts w:ascii="Times New Roman" w:hAnsi="Times New Roman" w:cs="Times New Roman"/>
          <w:sz w:val="22"/>
          <w:szCs w:val="22"/>
        </w:rPr>
      </w:pPr>
    </w:p>
    <w:p w14:paraId="75682EEE" w14:textId="77777777" w:rsidR="00B13244" w:rsidRPr="00C04A7D" w:rsidRDefault="00B13244" w:rsidP="00B13244">
      <w:pPr>
        <w:rPr>
          <w:rFonts w:ascii="Times New Roman" w:hAnsi="Times New Roman" w:cs="Times New Roman"/>
          <w:sz w:val="22"/>
          <w:szCs w:val="22"/>
          <w:lang w:val="ky-KG"/>
        </w:rPr>
      </w:pPr>
    </w:p>
    <w:p w14:paraId="38DD5DD1" w14:textId="77777777" w:rsidR="00B13244" w:rsidRPr="00C04A7D" w:rsidRDefault="00B13244" w:rsidP="00B13244">
      <w:pPr>
        <w:spacing w:after="0"/>
        <w:jc w:val="right"/>
        <w:rPr>
          <w:rFonts w:ascii="Times New Roman" w:eastAsia="Times New Roman" w:hAnsi="Times New Roman" w:cs="Times New Roman"/>
          <w:b/>
          <w:bCs/>
          <w:sz w:val="22"/>
          <w:szCs w:val="22"/>
          <w:lang w:val="ky-KG"/>
        </w:rPr>
      </w:pPr>
    </w:p>
    <w:p w14:paraId="6779AAF1" w14:textId="77777777" w:rsidR="007D00F4" w:rsidRPr="00B13244" w:rsidRDefault="007D00F4" w:rsidP="007D00F4">
      <w:pPr>
        <w:rPr>
          <w:rFonts w:ascii="Times New Roman" w:hAnsi="Times New Roman" w:cs="Times New Roman"/>
          <w:sz w:val="22"/>
          <w:szCs w:val="22"/>
          <w:lang w:val="ky-KG"/>
        </w:rPr>
      </w:pPr>
    </w:p>
    <w:p w14:paraId="2606CE4D" w14:textId="7574D849" w:rsidR="00181147" w:rsidRPr="004738B4" w:rsidRDefault="00181147" w:rsidP="00E006AB">
      <w:pPr>
        <w:spacing w:after="0"/>
        <w:jc w:val="right"/>
        <w:rPr>
          <w:rFonts w:ascii="Times New Roman" w:eastAsia="Times New Roman" w:hAnsi="Times New Roman" w:cs="Times New Roman"/>
          <w:b/>
          <w:bCs/>
          <w:sz w:val="22"/>
          <w:szCs w:val="22"/>
        </w:rPr>
      </w:pPr>
    </w:p>
    <w:sectPr w:rsidR="00181147" w:rsidRPr="004738B4"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82C8" w14:textId="77777777" w:rsidR="00A5302A" w:rsidRDefault="00A5302A">
      <w:pPr>
        <w:spacing w:after="0" w:line="240" w:lineRule="auto"/>
      </w:pPr>
      <w:r>
        <w:separator/>
      </w:r>
    </w:p>
  </w:endnote>
  <w:endnote w:type="continuationSeparator" w:id="0">
    <w:p w14:paraId="393BEB43" w14:textId="77777777" w:rsidR="00A5302A" w:rsidRDefault="00A5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6958C5C"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457637">
          <w:rPr>
            <w:rFonts w:ascii="Times New Roman" w:hAnsi="Times New Roman" w:cs="Times New Roman"/>
            <w:noProof/>
            <w:sz w:val="20"/>
            <w:szCs w:val="20"/>
          </w:rPr>
          <w:t>21</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F186" w14:textId="77777777" w:rsidR="00A5302A" w:rsidRDefault="00A5302A">
      <w:pPr>
        <w:spacing w:after="0" w:line="240" w:lineRule="auto"/>
      </w:pPr>
      <w:r>
        <w:separator/>
      </w:r>
    </w:p>
  </w:footnote>
  <w:footnote w:type="continuationSeparator" w:id="0">
    <w:p w14:paraId="24908E33" w14:textId="77777777" w:rsidR="00A5302A" w:rsidRDefault="00A53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DD5"/>
    <w:multiLevelType w:val="hybridMultilevel"/>
    <w:tmpl w:val="D42E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77217"/>
    <w:multiLevelType w:val="multilevel"/>
    <w:tmpl w:val="6D26A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C12F5"/>
    <w:multiLevelType w:val="hybridMultilevel"/>
    <w:tmpl w:val="DC184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50E72"/>
    <w:multiLevelType w:val="hybridMultilevel"/>
    <w:tmpl w:val="3ED017C0"/>
    <w:lvl w:ilvl="0" w:tplc="4A562C7A">
      <w:start w:val="1"/>
      <w:numFmt w:val="bullet"/>
      <w:lvlText w:val=""/>
      <w:lvlJc w:val="left"/>
      <w:pPr>
        <w:ind w:left="720" w:hanging="360"/>
      </w:pPr>
      <w:rPr>
        <w:rFonts w:ascii="Symbol" w:hAnsi="Symbol" w:hint="default"/>
      </w:rPr>
    </w:lvl>
    <w:lvl w:ilvl="1" w:tplc="ADEE1CE0" w:tentative="1">
      <w:start w:val="1"/>
      <w:numFmt w:val="bullet"/>
      <w:lvlText w:val="o"/>
      <w:lvlJc w:val="left"/>
      <w:pPr>
        <w:ind w:left="1440" w:hanging="360"/>
      </w:pPr>
      <w:rPr>
        <w:rFonts w:ascii="Courier New" w:hAnsi="Courier New" w:cs="Courier New" w:hint="default"/>
      </w:rPr>
    </w:lvl>
    <w:lvl w:ilvl="2" w:tplc="24B245A4" w:tentative="1">
      <w:start w:val="1"/>
      <w:numFmt w:val="bullet"/>
      <w:lvlText w:val=""/>
      <w:lvlJc w:val="left"/>
      <w:pPr>
        <w:ind w:left="2160" w:hanging="360"/>
      </w:pPr>
      <w:rPr>
        <w:rFonts w:ascii="Wingdings" w:hAnsi="Wingdings" w:hint="default"/>
      </w:rPr>
    </w:lvl>
    <w:lvl w:ilvl="3" w:tplc="0642506C" w:tentative="1">
      <w:start w:val="1"/>
      <w:numFmt w:val="bullet"/>
      <w:lvlText w:val=""/>
      <w:lvlJc w:val="left"/>
      <w:pPr>
        <w:ind w:left="2880" w:hanging="360"/>
      </w:pPr>
      <w:rPr>
        <w:rFonts w:ascii="Symbol" w:hAnsi="Symbol" w:hint="default"/>
      </w:rPr>
    </w:lvl>
    <w:lvl w:ilvl="4" w:tplc="C7AA5C80" w:tentative="1">
      <w:start w:val="1"/>
      <w:numFmt w:val="bullet"/>
      <w:lvlText w:val="o"/>
      <w:lvlJc w:val="left"/>
      <w:pPr>
        <w:ind w:left="3600" w:hanging="360"/>
      </w:pPr>
      <w:rPr>
        <w:rFonts w:ascii="Courier New" w:hAnsi="Courier New" w:cs="Courier New" w:hint="default"/>
      </w:rPr>
    </w:lvl>
    <w:lvl w:ilvl="5" w:tplc="1AD4A316" w:tentative="1">
      <w:start w:val="1"/>
      <w:numFmt w:val="bullet"/>
      <w:lvlText w:val=""/>
      <w:lvlJc w:val="left"/>
      <w:pPr>
        <w:ind w:left="4320" w:hanging="360"/>
      </w:pPr>
      <w:rPr>
        <w:rFonts w:ascii="Wingdings" w:hAnsi="Wingdings" w:hint="default"/>
      </w:rPr>
    </w:lvl>
    <w:lvl w:ilvl="6" w:tplc="333E3C82" w:tentative="1">
      <w:start w:val="1"/>
      <w:numFmt w:val="bullet"/>
      <w:lvlText w:val=""/>
      <w:lvlJc w:val="left"/>
      <w:pPr>
        <w:ind w:left="5040" w:hanging="360"/>
      </w:pPr>
      <w:rPr>
        <w:rFonts w:ascii="Symbol" w:hAnsi="Symbol" w:hint="default"/>
      </w:rPr>
    </w:lvl>
    <w:lvl w:ilvl="7" w:tplc="D2965550" w:tentative="1">
      <w:start w:val="1"/>
      <w:numFmt w:val="bullet"/>
      <w:lvlText w:val="o"/>
      <w:lvlJc w:val="left"/>
      <w:pPr>
        <w:ind w:left="5760" w:hanging="360"/>
      </w:pPr>
      <w:rPr>
        <w:rFonts w:ascii="Courier New" w:hAnsi="Courier New" w:cs="Courier New" w:hint="default"/>
      </w:rPr>
    </w:lvl>
    <w:lvl w:ilvl="8" w:tplc="6D2A5BCE" w:tentative="1">
      <w:start w:val="1"/>
      <w:numFmt w:val="bullet"/>
      <w:lvlText w:val=""/>
      <w:lvlJc w:val="left"/>
      <w:pPr>
        <w:ind w:left="6480" w:hanging="360"/>
      </w:pPr>
      <w:rPr>
        <w:rFonts w:ascii="Wingdings" w:hAnsi="Wingdings" w:hint="default"/>
      </w:rPr>
    </w:lvl>
  </w:abstractNum>
  <w:abstractNum w:abstractNumId="5" w15:restartNumberingAfterBreak="0">
    <w:nsid w:val="1C383932"/>
    <w:multiLevelType w:val="multilevel"/>
    <w:tmpl w:val="ED7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362CF"/>
    <w:multiLevelType w:val="hybridMultilevel"/>
    <w:tmpl w:val="F23EFB60"/>
    <w:lvl w:ilvl="0" w:tplc="16506BFE">
      <w:start w:val="1"/>
      <w:numFmt w:val="bullet"/>
      <w:lvlText w:val=""/>
      <w:lvlJc w:val="left"/>
      <w:pPr>
        <w:ind w:left="360" w:hanging="360"/>
      </w:pPr>
      <w:rPr>
        <w:rFonts w:ascii="Symbol" w:hAnsi="Symbol" w:hint="default"/>
      </w:rPr>
    </w:lvl>
    <w:lvl w:ilvl="1" w:tplc="565EEB5C" w:tentative="1">
      <w:start w:val="1"/>
      <w:numFmt w:val="bullet"/>
      <w:lvlText w:val="o"/>
      <w:lvlJc w:val="left"/>
      <w:pPr>
        <w:ind w:left="1080" w:hanging="360"/>
      </w:pPr>
      <w:rPr>
        <w:rFonts w:ascii="Courier New" w:hAnsi="Courier New" w:cs="Courier New" w:hint="default"/>
      </w:rPr>
    </w:lvl>
    <w:lvl w:ilvl="2" w:tplc="EB6AF02C" w:tentative="1">
      <w:start w:val="1"/>
      <w:numFmt w:val="bullet"/>
      <w:lvlText w:val=""/>
      <w:lvlJc w:val="left"/>
      <w:pPr>
        <w:ind w:left="1800" w:hanging="360"/>
      </w:pPr>
      <w:rPr>
        <w:rFonts w:ascii="Wingdings" w:hAnsi="Wingdings" w:hint="default"/>
      </w:rPr>
    </w:lvl>
    <w:lvl w:ilvl="3" w:tplc="585079B2" w:tentative="1">
      <w:start w:val="1"/>
      <w:numFmt w:val="bullet"/>
      <w:lvlText w:val=""/>
      <w:lvlJc w:val="left"/>
      <w:pPr>
        <w:ind w:left="2520" w:hanging="360"/>
      </w:pPr>
      <w:rPr>
        <w:rFonts w:ascii="Symbol" w:hAnsi="Symbol" w:hint="default"/>
      </w:rPr>
    </w:lvl>
    <w:lvl w:ilvl="4" w:tplc="172E9ABC" w:tentative="1">
      <w:start w:val="1"/>
      <w:numFmt w:val="bullet"/>
      <w:lvlText w:val="o"/>
      <w:lvlJc w:val="left"/>
      <w:pPr>
        <w:ind w:left="3240" w:hanging="360"/>
      </w:pPr>
      <w:rPr>
        <w:rFonts w:ascii="Courier New" w:hAnsi="Courier New" w:cs="Courier New" w:hint="default"/>
      </w:rPr>
    </w:lvl>
    <w:lvl w:ilvl="5" w:tplc="C7B64AC8" w:tentative="1">
      <w:start w:val="1"/>
      <w:numFmt w:val="bullet"/>
      <w:lvlText w:val=""/>
      <w:lvlJc w:val="left"/>
      <w:pPr>
        <w:ind w:left="3960" w:hanging="360"/>
      </w:pPr>
      <w:rPr>
        <w:rFonts w:ascii="Wingdings" w:hAnsi="Wingdings" w:hint="default"/>
      </w:rPr>
    </w:lvl>
    <w:lvl w:ilvl="6" w:tplc="2AA446B4" w:tentative="1">
      <w:start w:val="1"/>
      <w:numFmt w:val="bullet"/>
      <w:lvlText w:val=""/>
      <w:lvlJc w:val="left"/>
      <w:pPr>
        <w:ind w:left="4680" w:hanging="360"/>
      </w:pPr>
      <w:rPr>
        <w:rFonts w:ascii="Symbol" w:hAnsi="Symbol" w:hint="default"/>
      </w:rPr>
    </w:lvl>
    <w:lvl w:ilvl="7" w:tplc="F8965BCE" w:tentative="1">
      <w:start w:val="1"/>
      <w:numFmt w:val="bullet"/>
      <w:lvlText w:val="o"/>
      <w:lvlJc w:val="left"/>
      <w:pPr>
        <w:ind w:left="5400" w:hanging="360"/>
      </w:pPr>
      <w:rPr>
        <w:rFonts w:ascii="Courier New" w:hAnsi="Courier New" w:cs="Courier New" w:hint="default"/>
      </w:rPr>
    </w:lvl>
    <w:lvl w:ilvl="8" w:tplc="7616A02E" w:tentative="1">
      <w:start w:val="1"/>
      <w:numFmt w:val="bullet"/>
      <w:lvlText w:val=""/>
      <w:lvlJc w:val="left"/>
      <w:pPr>
        <w:ind w:left="6120" w:hanging="360"/>
      </w:pPr>
      <w:rPr>
        <w:rFonts w:ascii="Wingdings" w:hAnsi="Wingdings" w:hint="default"/>
      </w:r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2DC4"/>
    <w:multiLevelType w:val="hybridMultilevel"/>
    <w:tmpl w:val="ADA645DA"/>
    <w:lvl w:ilvl="0" w:tplc="82D49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16DD2"/>
    <w:multiLevelType w:val="hybridMultilevel"/>
    <w:tmpl w:val="CCF0B776"/>
    <w:lvl w:ilvl="0" w:tplc="9CEA23B2">
      <w:start w:val="1"/>
      <w:numFmt w:val="bullet"/>
      <w:lvlText w:val=""/>
      <w:lvlJc w:val="left"/>
      <w:pPr>
        <w:ind w:left="785" w:hanging="360"/>
      </w:pPr>
      <w:rPr>
        <w:rFonts w:ascii="Symbol" w:hAnsi="Symbol" w:hint="default"/>
      </w:rPr>
    </w:lvl>
    <w:lvl w:ilvl="1" w:tplc="E03AB57A" w:tentative="1">
      <w:start w:val="1"/>
      <w:numFmt w:val="bullet"/>
      <w:lvlText w:val="o"/>
      <w:lvlJc w:val="left"/>
      <w:pPr>
        <w:ind w:left="1080" w:hanging="360"/>
      </w:pPr>
      <w:rPr>
        <w:rFonts w:ascii="Courier New" w:hAnsi="Courier New" w:cs="Courier New" w:hint="default"/>
      </w:rPr>
    </w:lvl>
    <w:lvl w:ilvl="2" w:tplc="82E878D8" w:tentative="1">
      <w:start w:val="1"/>
      <w:numFmt w:val="bullet"/>
      <w:lvlText w:val=""/>
      <w:lvlJc w:val="left"/>
      <w:pPr>
        <w:ind w:left="1800" w:hanging="360"/>
      </w:pPr>
      <w:rPr>
        <w:rFonts w:ascii="Wingdings" w:hAnsi="Wingdings" w:hint="default"/>
      </w:rPr>
    </w:lvl>
    <w:lvl w:ilvl="3" w:tplc="738C310E" w:tentative="1">
      <w:start w:val="1"/>
      <w:numFmt w:val="bullet"/>
      <w:lvlText w:val=""/>
      <w:lvlJc w:val="left"/>
      <w:pPr>
        <w:ind w:left="2520" w:hanging="360"/>
      </w:pPr>
      <w:rPr>
        <w:rFonts w:ascii="Symbol" w:hAnsi="Symbol" w:hint="default"/>
      </w:rPr>
    </w:lvl>
    <w:lvl w:ilvl="4" w:tplc="3BB86E02" w:tentative="1">
      <w:start w:val="1"/>
      <w:numFmt w:val="bullet"/>
      <w:lvlText w:val="o"/>
      <w:lvlJc w:val="left"/>
      <w:pPr>
        <w:ind w:left="3240" w:hanging="360"/>
      </w:pPr>
      <w:rPr>
        <w:rFonts w:ascii="Courier New" w:hAnsi="Courier New" w:cs="Courier New" w:hint="default"/>
      </w:rPr>
    </w:lvl>
    <w:lvl w:ilvl="5" w:tplc="B4A007B0" w:tentative="1">
      <w:start w:val="1"/>
      <w:numFmt w:val="bullet"/>
      <w:lvlText w:val=""/>
      <w:lvlJc w:val="left"/>
      <w:pPr>
        <w:ind w:left="3960" w:hanging="360"/>
      </w:pPr>
      <w:rPr>
        <w:rFonts w:ascii="Wingdings" w:hAnsi="Wingdings" w:hint="default"/>
      </w:rPr>
    </w:lvl>
    <w:lvl w:ilvl="6" w:tplc="47308A5E" w:tentative="1">
      <w:start w:val="1"/>
      <w:numFmt w:val="bullet"/>
      <w:lvlText w:val=""/>
      <w:lvlJc w:val="left"/>
      <w:pPr>
        <w:ind w:left="4680" w:hanging="360"/>
      </w:pPr>
      <w:rPr>
        <w:rFonts w:ascii="Symbol" w:hAnsi="Symbol" w:hint="default"/>
      </w:rPr>
    </w:lvl>
    <w:lvl w:ilvl="7" w:tplc="9C6C88FE" w:tentative="1">
      <w:start w:val="1"/>
      <w:numFmt w:val="bullet"/>
      <w:lvlText w:val="o"/>
      <w:lvlJc w:val="left"/>
      <w:pPr>
        <w:ind w:left="5400" w:hanging="360"/>
      </w:pPr>
      <w:rPr>
        <w:rFonts w:ascii="Courier New" w:hAnsi="Courier New" w:cs="Courier New" w:hint="default"/>
      </w:rPr>
    </w:lvl>
    <w:lvl w:ilvl="8" w:tplc="FE0E2332" w:tentative="1">
      <w:start w:val="1"/>
      <w:numFmt w:val="bullet"/>
      <w:lvlText w:val=""/>
      <w:lvlJc w:val="left"/>
      <w:pPr>
        <w:ind w:left="6120" w:hanging="360"/>
      </w:pPr>
      <w:rPr>
        <w:rFonts w:ascii="Wingdings" w:hAnsi="Wingdings" w:hint="default"/>
      </w:rPr>
    </w:lvl>
  </w:abstractNum>
  <w:abstractNum w:abstractNumId="11" w15:restartNumberingAfterBreak="0">
    <w:nsid w:val="2FBD2065"/>
    <w:multiLevelType w:val="hybridMultilevel"/>
    <w:tmpl w:val="11B8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597A63"/>
    <w:multiLevelType w:val="hybridMultilevel"/>
    <w:tmpl w:val="4EBAA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63D4A"/>
    <w:multiLevelType w:val="hybridMultilevel"/>
    <w:tmpl w:val="094ABFD6"/>
    <w:lvl w:ilvl="0" w:tplc="9CEA23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0105F"/>
    <w:multiLevelType w:val="multilevel"/>
    <w:tmpl w:val="A174735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3758EB"/>
    <w:multiLevelType w:val="multilevel"/>
    <w:tmpl w:val="0B8EB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C12F0"/>
    <w:multiLevelType w:val="hybridMultilevel"/>
    <w:tmpl w:val="0394987A"/>
    <w:lvl w:ilvl="0" w:tplc="0C3EFEF2">
      <w:start w:val="1"/>
      <w:numFmt w:val="bullet"/>
      <w:lvlText w:val=""/>
      <w:lvlJc w:val="left"/>
      <w:pPr>
        <w:ind w:left="360" w:hanging="360"/>
      </w:pPr>
      <w:rPr>
        <w:rFonts w:ascii="Symbol" w:hAnsi="Symbol" w:hint="default"/>
      </w:rPr>
    </w:lvl>
    <w:lvl w:ilvl="1" w:tplc="33943E8C" w:tentative="1">
      <w:start w:val="1"/>
      <w:numFmt w:val="bullet"/>
      <w:lvlText w:val="o"/>
      <w:lvlJc w:val="left"/>
      <w:pPr>
        <w:ind w:left="1080" w:hanging="360"/>
      </w:pPr>
      <w:rPr>
        <w:rFonts w:ascii="Courier New" w:hAnsi="Courier New" w:cs="Courier New" w:hint="default"/>
      </w:rPr>
    </w:lvl>
    <w:lvl w:ilvl="2" w:tplc="CE96CF20" w:tentative="1">
      <w:start w:val="1"/>
      <w:numFmt w:val="bullet"/>
      <w:lvlText w:val=""/>
      <w:lvlJc w:val="left"/>
      <w:pPr>
        <w:ind w:left="1800" w:hanging="360"/>
      </w:pPr>
      <w:rPr>
        <w:rFonts w:ascii="Wingdings" w:hAnsi="Wingdings" w:hint="default"/>
      </w:rPr>
    </w:lvl>
    <w:lvl w:ilvl="3" w:tplc="90800D6C" w:tentative="1">
      <w:start w:val="1"/>
      <w:numFmt w:val="bullet"/>
      <w:lvlText w:val=""/>
      <w:lvlJc w:val="left"/>
      <w:pPr>
        <w:ind w:left="2520" w:hanging="360"/>
      </w:pPr>
      <w:rPr>
        <w:rFonts w:ascii="Symbol" w:hAnsi="Symbol" w:hint="default"/>
      </w:rPr>
    </w:lvl>
    <w:lvl w:ilvl="4" w:tplc="55C85E60" w:tentative="1">
      <w:start w:val="1"/>
      <w:numFmt w:val="bullet"/>
      <w:lvlText w:val="o"/>
      <w:lvlJc w:val="left"/>
      <w:pPr>
        <w:ind w:left="3240" w:hanging="360"/>
      </w:pPr>
      <w:rPr>
        <w:rFonts w:ascii="Courier New" w:hAnsi="Courier New" w:cs="Courier New" w:hint="default"/>
      </w:rPr>
    </w:lvl>
    <w:lvl w:ilvl="5" w:tplc="EB826A18" w:tentative="1">
      <w:start w:val="1"/>
      <w:numFmt w:val="bullet"/>
      <w:lvlText w:val=""/>
      <w:lvlJc w:val="left"/>
      <w:pPr>
        <w:ind w:left="3960" w:hanging="360"/>
      </w:pPr>
      <w:rPr>
        <w:rFonts w:ascii="Wingdings" w:hAnsi="Wingdings" w:hint="default"/>
      </w:rPr>
    </w:lvl>
    <w:lvl w:ilvl="6" w:tplc="B42CB3E2" w:tentative="1">
      <w:start w:val="1"/>
      <w:numFmt w:val="bullet"/>
      <w:lvlText w:val=""/>
      <w:lvlJc w:val="left"/>
      <w:pPr>
        <w:ind w:left="4680" w:hanging="360"/>
      </w:pPr>
      <w:rPr>
        <w:rFonts w:ascii="Symbol" w:hAnsi="Symbol" w:hint="default"/>
      </w:rPr>
    </w:lvl>
    <w:lvl w:ilvl="7" w:tplc="51B6288C" w:tentative="1">
      <w:start w:val="1"/>
      <w:numFmt w:val="bullet"/>
      <w:lvlText w:val="o"/>
      <w:lvlJc w:val="left"/>
      <w:pPr>
        <w:ind w:left="5400" w:hanging="360"/>
      </w:pPr>
      <w:rPr>
        <w:rFonts w:ascii="Courier New" w:hAnsi="Courier New" w:cs="Courier New" w:hint="default"/>
      </w:rPr>
    </w:lvl>
    <w:lvl w:ilvl="8" w:tplc="C5EA3A2E" w:tentative="1">
      <w:start w:val="1"/>
      <w:numFmt w:val="bullet"/>
      <w:lvlText w:val=""/>
      <w:lvlJc w:val="left"/>
      <w:pPr>
        <w:ind w:left="6120" w:hanging="360"/>
      </w:pPr>
      <w:rPr>
        <w:rFonts w:ascii="Wingdings" w:hAnsi="Wingdings" w:hint="default"/>
      </w:r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2F6649"/>
    <w:multiLevelType w:val="hybridMultilevel"/>
    <w:tmpl w:val="832A7D30"/>
    <w:lvl w:ilvl="0" w:tplc="207A741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139F0"/>
    <w:multiLevelType w:val="hybridMultilevel"/>
    <w:tmpl w:val="E33C1926"/>
    <w:lvl w:ilvl="0" w:tplc="9D10DD4C">
      <w:start w:val="1"/>
      <w:numFmt w:val="bullet"/>
      <w:lvlText w:val=""/>
      <w:lvlJc w:val="left"/>
      <w:pPr>
        <w:ind w:left="360" w:hanging="360"/>
      </w:pPr>
      <w:rPr>
        <w:rFonts w:ascii="Symbol" w:hAnsi="Symbol" w:hint="default"/>
      </w:rPr>
    </w:lvl>
    <w:lvl w:ilvl="1" w:tplc="68E225F4" w:tentative="1">
      <w:start w:val="1"/>
      <w:numFmt w:val="bullet"/>
      <w:lvlText w:val="o"/>
      <w:lvlJc w:val="left"/>
      <w:pPr>
        <w:ind w:left="1080" w:hanging="360"/>
      </w:pPr>
      <w:rPr>
        <w:rFonts w:ascii="Courier New" w:hAnsi="Courier New" w:cs="Courier New" w:hint="default"/>
      </w:rPr>
    </w:lvl>
    <w:lvl w:ilvl="2" w:tplc="6E40E900" w:tentative="1">
      <w:start w:val="1"/>
      <w:numFmt w:val="bullet"/>
      <w:lvlText w:val=""/>
      <w:lvlJc w:val="left"/>
      <w:pPr>
        <w:ind w:left="1800" w:hanging="360"/>
      </w:pPr>
      <w:rPr>
        <w:rFonts w:ascii="Wingdings" w:hAnsi="Wingdings" w:hint="default"/>
      </w:rPr>
    </w:lvl>
    <w:lvl w:ilvl="3" w:tplc="5780256C" w:tentative="1">
      <w:start w:val="1"/>
      <w:numFmt w:val="bullet"/>
      <w:lvlText w:val=""/>
      <w:lvlJc w:val="left"/>
      <w:pPr>
        <w:ind w:left="2520" w:hanging="360"/>
      </w:pPr>
      <w:rPr>
        <w:rFonts w:ascii="Symbol" w:hAnsi="Symbol" w:hint="default"/>
      </w:rPr>
    </w:lvl>
    <w:lvl w:ilvl="4" w:tplc="0568EA68" w:tentative="1">
      <w:start w:val="1"/>
      <w:numFmt w:val="bullet"/>
      <w:lvlText w:val="o"/>
      <w:lvlJc w:val="left"/>
      <w:pPr>
        <w:ind w:left="3240" w:hanging="360"/>
      </w:pPr>
      <w:rPr>
        <w:rFonts w:ascii="Courier New" w:hAnsi="Courier New" w:cs="Courier New" w:hint="default"/>
      </w:rPr>
    </w:lvl>
    <w:lvl w:ilvl="5" w:tplc="3724DE8E" w:tentative="1">
      <w:start w:val="1"/>
      <w:numFmt w:val="bullet"/>
      <w:lvlText w:val=""/>
      <w:lvlJc w:val="left"/>
      <w:pPr>
        <w:ind w:left="3960" w:hanging="360"/>
      </w:pPr>
      <w:rPr>
        <w:rFonts w:ascii="Wingdings" w:hAnsi="Wingdings" w:hint="default"/>
      </w:rPr>
    </w:lvl>
    <w:lvl w:ilvl="6" w:tplc="7938E162" w:tentative="1">
      <w:start w:val="1"/>
      <w:numFmt w:val="bullet"/>
      <w:lvlText w:val=""/>
      <w:lvlJc w:val="left"/>
      <w:pPr>
        <w:ind w:left="4680" w:hanging="360"/>
      </w:pPr>
      <w:rPr>
        <w:rFonts w:ascii="Symbol" w:hAnsi="Symbol" w:hint="default"/>
      </w:rPr>
    </w:lvl>
    <w:lvl w:ilvl="7" w:tplc="FEA24D7E" w:tentative="1">
      <w:start w:val="1"/>
      <w:numFmt w:val="bullet"/>
      <w:lvlText w:val="o"/>
      <w:lvlJc w:val="left"/>
      <w:pPr>
        <w:ind w:left="5400" w:hanging="360"/>
      </w:pPr>
      <w:rPr>
        <w:rFonts w:ascii="Courier New" w:hAnsi="Courier New" w:cs="Courier New" w:hint="default"/>
      </w:rPr>
    </w:lvl>
    <w:lvl w:ilvl="8" w:tplc="50EE44BC" w:tentative="1">
      <w:start w:val="1"/>
      <w:numFmt w:val="bullet"/>
      <w:lvlText w:val=""/>
      <w:lvlJc w:val="left"/>
      <w:pPr>
        <w:ind w:left="6120" w:hanging="360"/>
      </w:pPr>
      <w:rPr>
        <w:rFonts w:ascii="Wingdings" w:hAnsi="Wingdings" w:hint="default"/>
      </w:rPr>
    </w:lvl>
  </w:abstractNum>
  <w:abstractNum w:abstractNumId="24" w15:restartNumberingAfterBreak="0">
    <w:nsid w:val="6984373B"/>
    <w:multiLevelType w:val="hybridMultilevel"/>
    <w:tmpl w:val="2EA620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9E1FD3"/>
    <w:multiLevelType w:val="hybridMultilevel"/>
    <w:tmpl w:val="4FF61C3C"/>
    <w:lvl w:ilvl="0" w:tplc="11765C9A">
      <w:start w:val="1"/>
      <w:numFmt w:val="bullet"/>
      <w:lvlText w:val=""/>
      <w:lvlJc w:val="left"/>
      <w:pPr>
        <w:ind w:left="360" w:hanging="360"/>
      </w:pPr>
      <w:rPr>
        <w:rFonts w:ascii="Symbol" w:hAnsi="Symbol" w:hint="default"/>
      </w:rPr>
    </w:lvl>
    <w:lvl w:ilvl="1" w:tplc="EA2653F6" w:tentative="1">
      <w:start w:val="1"/>
      <w:numFmt w:val="bullet"/>
      <w:lvlText w:val="o"/>
      <w:lvlJc w:val="left"/>
      <w:pPr>
        <w:ind w:left="1080" w:hanging="360"/>
      </w:pPr>
      <w:rPr>
        <w:rFonts w:ascii="Courier New" w:hAnsi="Courier New" w:cs="Courier New" w:hint="default"/>
      </w:rPr>
    </w:lvl>
    <w:lvl w:ilvl="2" w:tplc="8C1CB886" w:tentative="1">
      <w:start w:val="1"/>
      <w:numFmt w:val="bullet"/>
      <w:lvlText w:val=""/>
      <w:lvlJc w:val="left"/>
      <w:pPr>
        <w:ind w:left="1800" w:hanging="360"/>
      </w:pPr>
      <w:rPr>
        <w:rFonts w:ascii="Wingdings" w:hAnsi="Wingdings" w:hint="default"/>
      </w:rPr>
    </w:lvl>
    <w:lvl w:ilvl="3" w:tplc="8A16F8C0" w:tentative="1">
      <w:start w:val="1"/>
      <w:numFmt w:val="bullet"/>
      <w:lvlText w:val=""/>
      <w:lvlJc w:val="left"/>
      <w:pPr>
        <w:ind w:left="2520" w:hanging="360"/>
      </w:pPr>
      <w:rPr>
        <w:rFonts w:ascii="Symbol" w:hAnsi="Symbol" w:hint="default"/>
      </w:rPr>
    </w:lvl>
    <w:lvl w:ilvl="4" w:tplc="904E9A64" w:tentative="1">
      <w:start w:val="1"/>
      <w:numFmt w:val="bullet"/>
      <w:lvlText w:val="o"/>
      <w:lvlJc w:val="left"/>
      <w:pPr>
        <w:ind w:left="3240" w:hanging="360"/>
      </w:pPr>
      <w:rPr>
        <w:rFonts w:ascii="Courier New" w:hAnsi="Courier New" w:cs="Courier New" w:hint="default"/>
      </w:rPr>
    </w:lvl>
    <w:lvl w:ilvl="5" w:tplc="5EAC690C" w:tentative="1">
      <w:start w:val="1"/>
      <w:numFmt w:val="bullet"/>
      <w:lvlText w:val=""/>
      <w:lvlJc w:val="left"/>
      <w:pPr>
        <w:ind w:left="3960" w:hanging="360"/>
      </w:pPr>
      <w:rPr>
        <w:rFonts w:ascii="Wingdings" w:hAnsi="Wingdings" w:hint="default"/>
      </w:rPr>
    </w:lvl>
    <w:lvl w:ilvl="6" w:tplc="8F9CEB0E" w:tentative="1">
      <w:start w:val="1"/>
      <w:numFmt w:val="bullet"/>
      <w:lvlText w:val=""/>
      <w:lvlJc w:val="left"/>
      <w:pPr>
        <w:ind w:left="4680" w:hanging="360"/>
      </w:pPr>
      <w:rPr>
        <w:rFonts w:ascii="Symbol" w:hAnsi="Symbol" w:hint="default"/>
      </w:rPr>
    </w:lvl>
    <w:lvl w:ilvl="7" w:tplc="258CBB96" w:tentative="1">
      <w:start w:val="1"/>
      <w:numFmt w:val="bullet"/>
      <w:lvlText w:val="o"/>
      <w:lvlJc w:val="left"/>
      <w:pPr>
        <w:ind w:left="5400" w:hanging="360"/>
      </w:pPr>
      <w:rPr>
        <w:rFonts w:ascii="Courier New" w:hAnsi="Courier New" w:cs="Courier New" w:hint="default"/>
      </w:rPr>
    </w:lvl>
    <w:lvl w:ilvl="8" w:tplc="0B6A5E64" w:tentative="1">
      <w:start w:val="1"/>
      <w:numFmt w:val="bullet"/>
      <w:lvlText w:val=""/>
      <w:lvlJc w:val="left"/>
      <w:pPr>
        <w:ind w:left="6120"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BA1286"/>
    <w:multiLevelType w:val="hybridMultilevel"/>
    <w:tmpl w:val="80FA8F5E"/>
    <w:lvl w:ilvl="0" w:tplc="9946C0F2">
      <w:start w:val="1"/>
      <w:numFmt w:val="bullet"/>
      <w:lvlText w:val=""/>
      <w:lvlJc w:val="left"/>
      <w:pPr>
        <w:ind w:left="360" w:hanging="360"/>
      </w:pPr>
      <w:rPr>
        <w:rFonts w:ascii="Symbol" w:hAnsi="Symbol" w:hint="default"/>
      </w:rPr>
    </w:lvl>
    <w:lvl w:ilvl="1" w:tplc="A11E9404" w:tentative="1">
      <w:start w:val="1"/>
      <w:numFmt w:val="bullet"/>
      <w:lvlText w:val="o"/>
      <w:lvlJc w:val="left"/>
      <w:pPr>
        <w:ind w:left="1080" w:hanging="360"/>
      </w:pPr>
      <w:rPr>
        <w:rFonts w:ascii="Courier New" w:hAnsi="Courier New" w:cs="Courier New" w:hint="default"/>
      </w:rPr>
    </w:lvl>
    <w:lvl w:ilvl="2" w:tplc="D2AA61E0" w:tentative="1">
      <w:start w:val="1"/>
      <w:numFmt w:val="bullet"/>
      <w:lvlText w:val=""/>
      <w:lvlJc w:val="left"/>
      <w:pPr>
        <w:ind w:left="1800" w:hanging="360"/>
      </w:pPr>
      <w:rPr>
        <w:rFonts w:ascii="Wingdings" w:hAnsi="Wingdings" w:hint="default"/>
      </w:rPr>
    </w:lvl>
    <w:lvl w:ilvl="3" w:tplc="42727106" w:tentative="1">
      <w:start w:val="1"/>
      <w:numFmt w:val="bullet"/>
      <w:lvlText w:val=""/>
      <w:lvlJc w:val="left"/>
      <w:pPr>
        <w:ind w:left="2520" w:hanging="360"/>
      </w:pPr>
      <w:rPr>
        <w:rFonts w:ascii="Symbol" w:hAnsi="Symbol" w:hint="default"/>
      </w:rPr>
    </w:lvl>
    <w:lvl w:ilvl="4" w:tplc="6F6AB5CE" w:tentative="1">
      <w:start w:val="1"/>
      <w:numFmt w:val="bullet"/>
      <w:lvlText w:val="o"/>
      <w:lvlJc w:val="left"/>
      <w:pPr>
        <w:ind w:left="3240" w:hanging="360"/>
      </w:pPr>
      <w:rPr>
        <w:rFonts w:ascii="Courier New" w:hAnsi="Courier New" w:cs="Courier New" w:hint="default"/>
      </w:rPr>
    </w:lvl>
    <w:lvl w:ilvl="5" w:tplc="3A589120" w:tentative="1">
      <w:start w:val="1"/>
      <w:numFmt w:val="bullet"/>
      <w:lvlText w:val=""/>
      <w:lvlJc w:val="left"/>
      <w:pPr>
        <w:ind w:left="3960" w:hanging="360"/>
      </w:pPr>
      <w:rPr>
        <w:rFonts w:ascii="Wingdings" w:hAnsi="Wingdings" w:hint="default"/>
      </w:rPr>
    </w:lvl>
    <w:lvl w:ilvl="6" w:tplc="F6408A3C" w:tentative="1">
      <w:start w:val="1"/>
      <w:numFmt w:val="bullet"/>
      <w:lvlText w:val=""/>
      <w:lvlJc w:val="left"/>
      <w:pPr>
        <w:ind w:left="4680" w:hanging="360"/>
      </w:pPr>
      <w:rPr>
        <w:rFonts w:ascii="Symbol" w:hAnsi="Symbol" w:hint="default"/>
      </w:rPr>
    </w:lvl>
    <w:lvl w:ilvl="7" w:tplc="AB88EE04" w:tentative="1">
      <w:start w:val="1"/>
      <w:numFmt w:val="bullet"/>
      <w:lvlText w:val="o"/>
      <w:lvlJc w:val="left"/>
      <w:pPr>
        <w:ind w:left="5400" w:hanging="360"/>
      </w:pPr>
      <w:rPr>
        <w:rFonts w:ascii="Courier New" w:hAnsi="Courier New" w:cs="Courier New" w:hint="default"/>
      </w:rPr>
    </w:lvl>
    <w:lvl w:ilvl="8" w:tplc="B70CDC6E" w:tentative="1">
      <w:start w:val="1"/>
      <w:numFmt w:val="bullet"/>
      <w:lvlText w:val=""/>
      <w:lvlJc w:val="left"/>
      <w:pPr>
        <w:ind w:left="6120" w:hanging="360"/>
      </w:pPr>
      <w:rPr>
        <w:rFonts w:ascii="Wingdings" w:hAnsi="Wingdings" w:hint="default"/>
      </w:rPr>
    </w:lvl>
  </w:abstractNum>
  <w:abstractNum w:abstractNumId="28" w15:restartNumberingAfterBreak="0">
    <w:nsid w:val="7EF13539"/>
    <w:multiLevelType w:val="hybridMultilevel"/>
    <w:tmpl w:val="31FA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47B8C"/>
    <w:multiLevelType w:val="multilevel"/>
    <w:tmpl w:val="E9E22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0" w15:restartNumberingAfterBreak="0">
    <w:nsid w:val="7FE67581"/>
    <w:multiLevelType w:val="hybridMultilevel"/>
    <w:tmpl w:val="46A2425C"/>
    <w:lvl w:ilvl="0" w:tplc="0510A164">
      <w:start w:val="1"/>
      <w:numFmt w:val="bullet"/>
      <w:lvlText w:val=""/>
      <w:lvlJc w:val="left"/>
      <w:pPr>
        <w:ind w:left="360" w:hanging="360"/>
      </w:pPr>
      <w:rPr>
        <w:rFonts w:ascii="Symbol" w:hAnsi="Symbol" w:hint="default"/>
      </w:rPr>
    </w:lvl>
    <w:lvl w:ilvl="1" w:tplc="14FA2FAC" w:tentative="1">
      <w:start w:val="1"/>
      <w:numFmt w:val="bullet"/>
      <w:lvlText w:val="o"/>
      <w:lvlJc w:val="left"/>
      <w:pPr>
        <w:ind w:left="1080" w:hanging="360"/>
      </w:pPr>
      <w:rPr>
        <w:rFonts w:ascii="Courier New" w:hAnsi="Courier New" w:cs="Courier New" w:hint="default"/>
      </w:rPr>
    </w:lvl>
    <w:lvl w:ilvl="2" w:tplc="307ED8AA" w:tentative="1">
      <w:start w:val="1"/>
      <w:numFmt w:val="bullet"/>
      <w:lvlText w:val=""/>
      <w:lvlJc w:val="left"/>
      <w:pPr>
        <w:ind w:left="1800" w:hanging="360"/>
      </w:pPr>
      <w:rPr>
        <w:rFonts w:ascii="Wingdings" w:hAnsi="Wingdings" w:hint="default"/>
      </w:rPr>
    </w:lvl>
    <w:lvl w:ilvl="3" w:tplc="938008E2" w:tentative="1">
      <w:start w:val="1"/>
      <w:numFmt w:val="bullet"/>
      <w:lvlText w:val=""/>
      <w:lvlJc w:val="left"/>
      <w:pPr>
        <w:ind w:left="2520" w:hanging="360"/>
      </w:pPr>
      <w:rPr>
        <w:rFonts w:ascii="Symbol" w:hAnsi="Symbol" w:hint="default"/>
      </w:rPr>
    </w:lvl>
    <w:lvl w:ilvl="4" w:tplc="3386F150" w:tentative="1">
      <w:start w:val="1"/>
      <w:numFmt w:val="bullet"/>
      <w:lvlText w:val="o"/>
      <w:lvlJc w:val="left"/>
      <w:pPr>
        <w:ind w:left="3240" w:hanging="360"/>
      </w:pPr>
      <w:rPr>
        <w:rFonts w:ascii="Courier New" w:hAnsi="Courier New" w:cs="Courier New" w:hint="default"/>
      </w:rPr>
    </w:lvl>
    <w:lvl w:ilvl="5" w:tplc="33ACA210" w:tentative="1">
      <w:start w:val="1"/>
      <w:numFmt w:val="bullet"/>
      <w:lvlText w:val=""/>
      <w:lvlJc w:val="left"/>
      <w:pPr>
        <w:ind w:left="3960" w:hanging="360"/>
      </w:pPr>
      <w:rPr>
        <w:rFonts w:ascii="Wingdings" w:hAnsi="Wingdings" w:hint="default"/>
      </w:rPr>
    </w:lvl>
    <w:lvl w:ilvl="6" w:tplc="D2E4175E" w:tentative="1">
      <w:start w:val="1"/>
      <w:numFmt w:val="bullet"/>
      <w:lvlText w:val=""/>
      <w:lvlJc w:val="left"/>
      <w:pPr>
        <w:ind w:left="4680" w:hanging="360"/>
      </w:pPr>
      <w:rPr>
        <w:rFonts w:ascii="Symbol" w:hAnsi="Symbol" w:hint="default"/>
      </w:rPr>
    </w:lvl>
    <w:lvl w:ilvl="7" w:tplc="DF1CCE54" w:tentative="1">
      <w:start w:val="1"/>
      <w:numFmt w:val="bullet"/>
      <w:lvlText w:val="o"/>
      <w:lvlJc w:val="left"/>
      <w:pPr>
        <w:ind w:left="5400" w:hanging="360"/>
      </w:pPr>
      <w:rPr>
        <w:rFonts w:ascii="Courier New" w:hAnsi="Courier New" w:cs="Courier New" w:hint="default"/>
      </w:rPr>
    </w:lvl>
    <w:lvl w:ilvl="8" w:tplc="E71E20B2"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
  </w:num>
  <w:num w:numId="4">
    <w:abstractNumId w:val="15"/>
  </w:num>
  <w:num w:numId="5">
    <w:abstractNumId w:val="21"/>
  </w:num>
  <w:num w:numId="6">
    <w:abstractNumId w:val="7"/>
  </w:num>
  <w:num w:numId="7">
    <w:abstractNumId w:val="17"/>
  </w:num>
  <w:num w:numId="8">
    <w:abstractNumId w:val="16"/>
  </w:num>
  <w:num w:numId="9">
    <w:abstractNumId w:val="26"/>
  </w:num>
  <w:num w:numId="10">
    <w:abstractNumId w:val="12"/>
  </w:num>
  <w:num w:numId="11">
    <w:abstractNumId w:val="5"/>
  </w:num>
  <w:num w:numId="12">
    <w:abstractNumId w:val="22"/>
  </w:num>
  <w:num w:numId="13">
    <w:abstractNumId w:val="24"/>
  </w:num>
  <w:num w:numId="14">
    <w:abstractNumId w:val="3"/>
  </w:num>
  <w:num w:numId="15">
    <w:abstractNumId w:val="30"/>
  </w:num>
  <w:num w:numId="16">
    <w:abstractNumId w:val="25"/>
  </w:num>
  <w:num w:numId="17">
    <w:abstractNumId w:val="29"/>
  </w:num>
  <w:num w:numId="18">
    <w:abstractNumId w:val="10"/>
  </w:num>
  <w:num w:numId="19">
    <w:abstractNumId w:val="4"/>
  </w:num>
  <w:num w:numId="20">
    <w:abstractNumId w:val="20"/>
  </w:num>
  <w:num w:numId="21">
    <w:abstractNumId w:val="27"/>
  </w:num>
  <w:num w:numId="22">
    <w:abstractNumId w:val="0"/>
  </w:num>
  <w:num w:numId="23">
    <w:abstractNumId w:val="6"/>
  </w:num>
  <w:num w:numId="24">
    <w:abstractNumId w:val="11"/>
  </w:num>
  <w:num w:numId="25">
    <w:abstractNumId w:val="23"/>
  </w:num>
  <w:num w:numId="26">
    <w:abstractNumId w:val="8"/>
  </w:num>
  <w:num w:numId="27">
    <w:abstractNumId w:val="19"/>
  </w:num>
  <w:num w:numId="28">
    <w:abstractNumId w:val="1"/>
  </w:num>
  <w:num w:numId="29">
    <w:abstractNumId w:val="13"/>
  </w:num>
  <w:num w:numId="30">
    <w:abstractNumId w:val="18"/>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A76"/>
    <w:rsid w:val="00005341"/>
    <w:rsid w:val="000076AE"/>
    <w:rsid w:val="000109A6"/>
    <w:rsid w:val="000125A1"/>
    <w:rsid w:val="00014267"/>
    <w:rsid w:val="0001697C"/>
    <w:rsid w:val="0002372A"/>
    <w:rsid w:val="00024AB9"/>
    <w:rsid w:val="00027F9D"/>
    <w:rsid w:val="00032A5C"/>
    <w:rsid w:val="000502CA"/>
    <w:rsid w:val="00053B2B"/>
    <w:rsid w:val="0006212C"/>
    <w:rsid w:val="0006235B"/>
    <w:rsid w:val="00064A37"/>
    <w:rsid w:val="00070246"/>
    <w:rsid w:val="00075B2F"/>
    <w:rsid w:val="00076C9E"/>
    <w:rsid w:val="0008440E"/>
    <w:rsid w:val="00091BFC"/>
    <w:rsid w:val="00092E9D"/>
    <w:rsid w:val="00094CCC"/>
    <w:rsid w:val="00096987"/>
    <w:rsid w:val="000A13F9"/>
    <w:rsid w:val="000A588D"/>
    <w:rsid w:val="000B164B"/>
    <w:rsid w:val="000B25C3"/>
    <w:rsid w:val="000B478D"/>
    <w:rsid w:val="000B5577"/>
    <w:rsid w:val="000B7E68"/>
    <w:rsid w:val="000C13CD"/>
    <w:rsid w:val="000C4B86"/>
    <w:rsid w:val="000C7AD5"/>
    <w:rsid w:val="000D4106"/>
    <w:rsid w:val="000E681C"/>
    <w:rsid w:val="000F0743"/>
    <w:rsid w:val="000F3410"/>
    <w:rsid w:val="000F3666"/>
    <w:rsid w:val="000F42E3"/>
    <w:rsid w:val="000F4D6F"/>
    <w:rsid w:val="000F4FE1"/>
    <w:rsid w:val="000F5F73"/>
    <w:rsid w:val="000F76DB"/>
    <w:rsid w:val="000F7AFE"/>
    <w:rsid w:val="001003A8"/>
    <w:rsid w:val="001020D7"/>
    <w:rsid w:val="00105E0A"/>
    <w:rsid w:val="00105F30"/>
    <w:rsid w:val="00106CE9"/>
    <w:rsid w:val="0011392F"/>
    <w:rsid w:val="00114E55"/>
    <w:rsid w:val="00116212"/>
    <w:rsid w:val="00117FB7"/>
    <w:rsid w:val="0012724B"/>
    <w:rsid w:val="001273CB"/>
    <w:rsid w:val="001314E3"/>
    <w:rsid w:val="00133423"/>
    <w:rsid w:val="00133FFE"/>
    <w:rsid w:val="00136089"/>
    <w:rsid w:val="00136398"/>
    <w:rsid w:val="00137143"/>
    <w:rsid w:val="00140616"/>
    <w:rsid w:val="001459AA"/>
    <w:rsid w:val="00151AB8"/>
    <w:rsid w:val="00152098"/>
    <w:rsid w:val="00152437"/>
    <w:rsid w:val="00161D6D"/>
    <w:rsid w:val="00165513"/>
    <w:rsid w:val="001740C9"/>
    <w:rsid w:val="0017792D"/>
    <w:rsid w:val="00181147"/>
    <w:rsid w:val="00184732"/>
    <w:rsid w:val="001A5426"/>
    <w:rsid w:val="001A559B"/>
    <w:rsid w:val="001C03C4"/>
    <w:rsid w:val="001C7016"/>
    <w:rsid w:val="001D0BF6"/>
    <w:rsid w:val="001D1ED1"/>
    <w:rsid w:val="001D53F7"/>
    <w:rsid w:val="001E04FB"/>
    <w:rsid w:val="001E0D3F"/>
    <w:rsid w:val="001E10E6"/>
    <w:rsid w:val="001E7662"/>
    <w:rsid w:val="001F1BE5"/>
    <w:rsid w:val="001F671D"/>
    <w:rsid w:val="00200E79"/>
    <w:rsid w:val="00204432"/>
    <w:rsid w:val="0020584C"/>
    <w:rsid w:val="0020652F"/>
    <w:rsid w:val="0021133C"/>
    <w:rsid w:val="0021256B"/>
    <w:rsid w:val="002140B1"/>
    <w:rsid w:val="00214A1F"/>
    <w:rsid w:val="0021526D"/>
    <w:rsid w:val="002174C6"/>
    <w:rsid w:val="00220B6D"/>
    <w:rsid w:val="0022254D"/>
    <w:rsid w:val="00233417"/>
    <w:rsid w:val="002448DD"/>
    <w:rsid w:val="002524A2"/>
    <w:rsid w:val="00252C99"/>
    <w:rsid w:val="00254FFD"/>
    <w:rsid w:val="00262E66"/>
    <w:rsid w:val="00263C61"/>
    <w:rsid w:val="00267FC6"/>
    <w:rsid w:val="002768C2"/>
    <w:rsid w:val="002805A2"/>
    <w:rsid w:val="00281FF3"/>
    <w:rsid w:val="00284619"/>
    <w:rsid w:val="00284FE7"/>
    <w:rsid w:val="00290042"/>
    <w:rsid w:val="00294E84"/>
    <w:rsid w:val="0029680A"/>
    <w:rsid w:val="002A0144"/>
    <w:rsid w:val="002A155D"/>
    <w:rsid w:val="002A17C4"/>
    <w:rsid w:val="002A31F8"/>
    <w:rsid w:val="002A5B93"/>
    <w:rsid w:val="002A7B3E"/>
    <w:rsid w:val="002B0F6C"/>
    <w:rsid w:val="002B31F0"/>
    <w:rsid w:val="002B37F2"/>
    <w:rsid w:val="002B43EF"/>
    <w:rsid w:val="002B7E3D"/>
    <w:rsid w:val="002C3A1E"/>
    <w:rsid w:val="002C7A60"/>
    <w:rsid w:val="002D0F32"/>
    <w:rsid w:val="002D7123"/>
    <w:rsid w:val="002E0B4B"/>
    <w:rsid w:val="002E288A"/>
    <w:rsid w:val="002E525A"/>
    <w:rsid w:val="002E5CB2"/>
    <w:rsid w:val="002E71B5"/>
    <w:rsid w:val="002F2A0D"/>
    <w:rsid w:val="002F3BF9"/>
    <w:rsid w:val="002F4AF8"/>
    <w:rsid w:val="002F53A5"/>
    <w:rsid w:val="002F6D08"/>
    <w:rsid w:val="003063C3"/>
    <w:rsid w:val="003071D4"/>
    <w:rsid w:val="00313254"/>
    <w:rsid w:val="00314B88"/>
    <w:rsid w:val="00316C1E"/>
    <w:rsid w:val="0032242F"/>
    <w:rsid w:val="00323AFE"/>
    <w:rsid w:val="00325329"/>
    <w:rsid w:val="00327418"/>
    <w:rsid w:val="00342FF2"/>
    <w:rsid w:val="003521EF"/>
    <w:rsid w:val="003563D1"/>
    <w:rsid w:val="00363020"/>
    <w:rsid w:val="00363707"/>
    <w:rsid w:val="00373111"/>
    <w:rsid w:val="00375ED7"/>
    <w:rsid w:val="00376135"/>
    <w:rsid w:val="00385F21"/>
    <w:rsid w:val="0039166A"/>
    <w:rsid w:val="003956E2"/>
    <w:rsid w:val="003A0006"/>
    <w:rsid w:val="003A1084"/>
    <w:rsid w:val="003A2DC0"/>
    <w:rsid w:val="003A3E86"/>
    <w:rsid w:val="003A6B2A"/>
    <w:rsid w:val="003A7B57"/>
    <w:rsid w:val="003A7EF6"/>
    <w:rsid w:val="003B55B7"/>
    <w:rsid w:val="003C52FF"/>
    <w:rsid w:val="003C7FFD"/>
    <w:rsid w:val="003E170B"/>
    <w:rsid w:val="003E75AF"/>
    <w:rsid w:val="004154E8"/>
    <w:rsid w:val="00417485"/>
    <w:rsid w:val="00421515"/>
    <w:rsid w:val="00422481"/>
    <w:rsid w:val="004232B9"/>
    <w:rsid w:val="00425CAD"/>
    <w:rsid w:val="00425EEB"/>
    <w:rsid w:val="00426DF4"/>
    <w:rsid w:val="00426FB1"/>
    <w:rsid w:val="004279EC"/>
    <w:rsid w:val="00435787"/>
    <w:rsid w:val="00436593"/>
    <w:rsid w:val="00441D77"/>
    <w:rsid w:val="00443275"/>
    <w:rsid w:val="00450BF1"/>
    <w:rsid w:val="00453792"/>
    <w:rsid w:val="00454A27"/>
    <w:rsid w:val="00457637"/>
    <w:rsid w:val="0046399B"/>
    <w:rsid w:val="00464AB9"/>
    <w:rsid w:val="00471891"/>
    <w:rsid w:val="004738B4"/>
    <w:rsid w:val="004750C4"/>
    <w:rsid w:val="00480A8D"/>
    <w:rsid w:val="00482F0D"/>
    <w:rsid w:val="00486A39"/>
    <w:rsid w:val="00491A1D"/>
    <w:rsid w:val="00492633"/>
    <w:rsid w:val="00496ED2"/>
    <w:rsid w:val="004A13C5"/>
    <w:rsid w:val="004A3AFF"/>
    <w:rsid w:val="004A4E91"/>
    <w:rsid w:val="004A5029"/>
    <w:rsid w:val="004B1F71"/>
    <w:rsid w:val="004B4D11"/>
    <w:rsid w:val="004B76EC"/>
    <w:rsid w:val="004D2D42"/>
    <w:rsid w:val="004D736C"/>
    <w:rsid w:val="004E0002"/>
    <w:rsid w:val="004E3661"/>
    <w:rsid w:val="004E50F6"/>
    <w:rsid w:val="004E7E16"/>
    <w:rsid w:val="004F0410"/>
    <w:rsid w:val="004F50F2"/>
    <w:rsid w:val="004F5A5A"/>
    <w:rsid w:val="0050068D"/>
    <w:rsid w:val="005039EC"/>
    <w:rsid w:val="0050653A"/>
    <w:rsid w:val="005078CB"/>
    <w:rsid w:val="00510493"/>
    <w:rsid w:val="00517708"/>
    <w:rsid w:val="00520650"/>
    <w:rsid w:val="00522C47"/>
    <w:rsid w:val="00526BFA"/>
    <w:rsid w:val="00531394"/>
    <w:rsid w:val="005403DE"/>
    <w:rsid w:val="00540BA6"/>
    <w:rsid w:val="00543C1A"/>
    <w:rsid w:val="00551134"/>
    <w:rsid w:val="005528D9"/>
    <w:rsid w:val="0055337E"/>
    <w:rsid w:val="005552B2"/>
    <w:rsid w:val="00561779"/>
    <w:rsid w:val="00561D16"/>
    <w:rsid w:val="005657DC"/>
    <w:rsid w:val="005658F2"/>
    <w:rsid w:val="00566EAC"/>
    <w:rsid w:val="00570F2B"/>
    <w:rsid w:val="005764A0"/>
    <w:rsid w:val="00577666"/>
    <w:rsid w:val="005813AC"/>
    <w:rsid w:val="00584473"/>
    <w:rsid w:val="00584EA7"/>
    <w:rsid w:val="005852F1"/>
    <w:rsid w:val="0058591A"/>
    <w:rsid w:val="00590CF7"/>
    <w:rsid w:val="0059142B"/>
    <w:rsid w:val="00592FE0"/>
    <w:rsid w:val="005974BB"/>
    <w:rsid w:val="005A1696"/>
    <w:rsid w:val="005A6908"/>
    <w:rsid w:val="005B0019"/>
    <w:rsid w:val="005B311D"/>
    <w:rsid w:val="005B4115"/>
    <w:rsid w:val="005B4B3E"/>
    <w:rsid w:val="005B60CE"/>
    <w:rsid w:val="005C3485"/>
    <w:rsid w:val="005C3F10"/>
    <w:rsid w:val="005C6E18"/>
    <w:rsid w:val="005C7B82"/>
    <w:rsid w:val="005D11E2"/>
    <w:rsid w:val="005D4003"/>
    <w:rsid w:val="005D425C"/>
    <w:rsid w:val="005D438C"/>
    <w:rsid w:val="005D6192"/>
    <w:rsid w:val="005D72CC"/>
    <w:rsid w:val="005E3A3C"/>
    <w:rsid w:val="005E4C12"/>
    <w:rsid w:val="005E60BC"/>
    <w:rsid w:val="005E60DB"/>
    <w:rsid w:val="005E6DCF"/>
    <w:rsid w:val="005F056B"/>
    <w:rsid w:val="005F0886"/>
    <w:rsid w:val="005F3759"/>
    <w:rsid w:val="005F60A3"/>
    <w:rsid w:val="005F6D7D"/>
    <w:rsid w:val="00605A74"/>
    <w:rsid w:val="006103CE"/>
    <w:rsid w:val="00610AFC"/>
    <w:rsid w:val="00610F24"/>
    <w:rsid w:val="00614C0B"/>
    <w:rsid w:val="00616D2B"/>
    <w:rsid w:val="0062031D"/>
    <w:rsid w:val="0062077A"/>
    <w:rsid w:val="00631FDF"/>
    <w:rsid w:val="00632CC2"/>
    <w:rsid w:val="00633086"/>
    <w:rsid w:val="00634DEF"/>
    <w:rsid w:val="00636C65"/>
    <w:rsid w:val="00642F1A"/>
    <w:rsid w:val="00644C18"/>
    <w:rsid w:val="00650552"/>
    <w:rsid w:val="0065485A"/>
    <w:rsid w:val="00655D60"/>
    <w:rsid w:val="0066057C"/>
    <w:rsid w:val="006617EC"/>
    <w:rsid w:val="0066278A"/>
    <w:rsid w:val="00670DC6"/>
    <w:rsid w:val="00670E37"/>
    <w:rsid w:val="00672A67"/>
    <w:rsid w:val="00673585"/>
    <w:rsid w:val="00673D74"/>
    <w:rsid w:val="00674948"/>
    <w:rsid w:val="00677093"/>
    <w:rsid w:val="00677259"/>
    <w:rsid w:val="0068250B"/>
    <w:rsid w:val="0068488C"/>
    <w:rsid w:val="006855C1"/>
    <w:rsid w:val="00685861"/>
    <w:rsid w:val="0068712A"/>
    <w:rsid w:val="0068781C"/>
    <w:rsid w:val="0069456E"/>
    <w:rsid w:val="00695164"/>
    <w:rsid w:val="00697F12"/>
    <w:rsid w:val="006B25A0"/>
    <w:rsid w:val="006B42D1"/>
    <w:rsid w:val="006B439F"/>
    <w:rsid w:val="006C5F4D"/>
    <w:rsid w:val="006C7A7C"/>
    <w:rsid w:val="006D39B9"/>
    <w:rsid w:val="006E3C2C"/>
    <w:rsid w:val="006E6493"/>
    <w:rsid w:val="006E7DAB"/>
    <w:rsid w:val="006F2321"/>
    <w:rsid w:val="006F269B"/>
    <w:rsid w:val="006F3DB3"/>
    <w:rsid w:val="006F416C"/>
    <w:rsid w:val="007065DE"/>
    <w:rsid w:val="00707506"/>
    <w:rsid w:val="00711118"/>
    <w:rsid w:val="0071271E"/>
    <w:rsid w:val="00716C09"/>
    <w:rsid w:val="0072055E"/>
    <w:rsid w:val="00721BB6"/>
    <w:rsid w:val="00721CC4"/>
    <w:rsid w:val="00726B35"/>
    <w:rsid w:val="00730199"/>
    <w:rsid w:val="00730BFB"/>
    <w:rsid w:val="007323D2"/>
    <w:rsid w:val="00735D54"/>
    <w:rsid w:val="00735DBB"/>
    <w:rsid w:val="00735E49"/>
    <w:rsid w:val="00744F2F"/>
    <w:rsid w:val="007504CF"/>
    <w:rsid w:val="00760897"/>
    <w:rsid w:val="00760CF2"/>
    <w:rsid w:val="00761CCD"/>
    <w:rsid w:val="007625EE"/>
    <w:rsid w:val="007633E2"/>
    <w:rsid w:val="00770608"/>
    <w:rsid w:val="007708B1"/>
    <w:rsid w:val="0077291A"/>
    <w:rsid w:val="00773B1A"/>
    <w:rsid w:val="00773CDD"/>
    <w:rsid w:val="0077585F"/>
    <w:rsid w:val="00782671"/>
    <w:rsid w:val="00782FD3"/>
    <w:rsid w:val="0078400E"/>
    <w:rsid w:val="00786CE2"/>
    <w:rsid w:val="007938DC"/>
    <w:rsid w:val="007A303F"/>
    <w:rsid w:val="007A430A"/>
    <w:rsid w:val="007A7306"/>
    <w:rsid w:val="007A7820"/>
    <w:rsid w:val="007B273E"/>
    <w:rsid w:val="007B30B0"/>
    <w:rsid w:val="007B5E69"/>
    <w:rsid w:val="007B7008"/>
    <w:rsid w:val="007B726A"/>
    <w:rsid w:val="007B793D"/>
    <w:rsid w:val="007C06E1"/>
    <w:rsid w:val="007D00F4"/>
    <w:rsid w:val="007D1B6C"/>
    <w:rsid w:val="007E0CE5"/>
    <w:rsid w:val="007E4766"/>
    <w:rsid w:val="007E6335"/>
    <w:rsid w:val="007E6E12"/>
    <w:rsid w:val="007F1AB1"/>
    <w:rsid w:val="007F1C46"/>
    <w:rsid w:val="007F4848"/>
    <w:rsid w:val="00800A34"/>
    <w:rsid w:val="00806598"/>
    <w:rsid w:val="00807906"/>
    <w:rsid w:val="008118E5"/>
    <w:rsid w:val="00812D27"/>
    <w:rsid w:val="0081657D"/>
    <w:rsid w:val="00826F3E"/>
    <w:rsid w:val="0083702D"/>
    <w:rsid w:val="00841ACD"/>
    <w:rsid w:val="00842607"/>
    <w:rsid w:val="00845D99"/>
    <w:rsid w:val="00850902"/>
    <w:rsid w:val="00850AF3"/>
    <w:rsid w:val="00852999"/>
    <w:rsid w:val="00861D3D"/>
    <w:rsid w:val="00870AF5"/>
    <w:rsid w:val="00872A12"/>
    <w:rsid w:val="0088216E"/>
    <w:rsid w:val="008A75C0"/>
    <w:rsid w:val="008C23D0"/>
    <w:rsid w:val="008C50B1"/>
    <w:rsid w:val="008C67F2"/>
    <w:rsid w:val="008D135B"/>
    <w:rsid w:val="008D14F5"/>
    <w:rsid w:val="008D1C4E"/>
    <w:rsid w:val="008E2088"/>
    <w:rsid w:val="008E47DD"/>
    <w:rsid w:val="008F3B6C"/>
    <w:rsid w:val="008F6E2E"/>
    <w:rsid w:val="00900801"/>
    <w:rsid w:val="0090176A"/>
    <w:rsid w:val="00906CB4"/>
    <w:rsid w:val="00912189"/>
    <w:rsid w:val="009124EC"/>
    <w:rsid w:val="00913E85"/>
    <w:rsid w:val="0091591B"/>
    <w:rsid w:val="00916608"/>
    <w:rsid w:val="009210B0"/>
    <w:rsid w:val="00922DDB"/>
    <w:rsid w:val="009237FC"/>
    <w:rsid w:val="009308C5"/>
    <w:rsid w:val="009313F8"/>
    <w:rsid w:val="0093189F"/>
    <w:rsid w:val="009328BA"/>
    <w:rsid w:val="009338DE"/>
    <w:rsid w:val="00933C19"/>
    <w:rsid w:val="00944E2A"/>
    <w:rsid w:val="00945298"/>
    <w:rsid w:val="00945ED0"/>
    <w:rsid w:val="00954164"/>
    <w:rsid w:val="009577E5"/>
    <w:rsid w:val="0096104F"/>
    <w:rsid w:val="00963161"/>
    <w:rsid w:val="009724BD"/>
    <w:rsid w:val="00972C58"/>
    <w:rsid w:val="0097573B"/>
    <w:rsid w:val="009767DB"/>
    <w:rsid w:val="00982E96"/>
    <w:rsid w:val="009840AA"/>
    <w:rsid w:val="00985D96"/>
    <w:rsid w:val="00987766"/>
    <w:rsid w:val="00994482"/>
    <w:rsid w:val="009966A3"/>
    <w:rsid w:val="009A3668"/>
    <w:rsid w:val="009A3B7F"/>
    <w:rsid w:val="009A519E"/>
    <w:rsid w:val="009B03BD"/>
    <w:rsid w:val="009B0B86"/>
    <w:rsid w:val="009B376D"/>
    <w:rsid w:val="009B382B"/>
    <w:rsid w:val="009B42DE"/>
    <w:rsid w:val="009B7540"/>
    <w:rsid w:val="009C36CB"/>
    <w:rsid w:val="009C5C3A"/>
    <w:rsid w:val="009C6AED"/>
    <w:rsid w:val="009C7DEE"/>
    <w:rsid w:val="009C7FB5"/>
    <w:rsid w:val="009D104A"/>
    <w:rsid w:val="009E4A2D"/>
    <w:rsid w:val="009F1F0C"/>
    <w:rsid w:val="009F515B"/>
    <w:rsid w:val="009F6EEC"/>
    <w:rsid w:val="009F7D42"/>
    <w:rsid w:val="00A01205"/>
    <w:rsid w:val="00A02BE0"/>
    <w:rsid w:val="00A073DC"/>
    <w:rsid w:val="00A10CFB"/>
    <w:rsid w:val="00A10F1A"/>
    <w:rsid w:val="00A12391"/>
    <w:rsid w:val="00A22245"/>
    <w:rsid w:val="00A23512"/>
    <w:rsid w:val="00A239BE"/>
    <w:rsid w:val="00A2401D"/>
    <w:rsid w:val="00A243F7"/>
    <w:rsid w:val="00A259F3"/>
    <w:rsid w:val="00A312A1"/>
    <w:rsid w:val="00A37F64"/>
    <w:rsid w:val="00A43686"/>
    <w:rsid w:val="00A529D5"/>
    <w:rsid w:val="00A5302A"/>
    <w:rsid w:val="00A53E90"/>
    <w:rsid w:val="00A546A8"/>
    <w:rsid w:val="00A6348C"/>
    <w:rsid w:val="00A64C25"/>
    <w:rsid w:val="00A6510F"/>
    <w:rsid w:val="00A66D7E"/>
    <w:rsid w:val="00A8418C"/>
    <w:rsid w:val="00A84DD7"/>
    <w:rsid w:val="00A87A3A"/>
    <w:rsid w:val="00A92B05"/>
    <w:rsid w:val="00A94E28"/>
    <w:rsid w:val="00AA22C7"/>
    <w:rsid w:val="00AA28A5"/>
    <w:rsid w:val="00AA6CDC"/>
    <w:rsid w:val="00AB1754"/>
    <w:rsid w:val="00AB4191"/>
    <w:rsid w:val="00AB46B2"/>
    <w:rsid w:val="00AB56BD"/>
    <w:rsid w:val="00AB5C64"/>
    <w:rsid w:val="00AD0084"/>
    <w:rsid w:val="00AD4BBA"/>
    <w:rsid w:val="00AD4DBE"/>
    <w:rsid w:val="00AE2A8E"/>
    <w:rsid w:val="00AE713E"/>
    <w:rsid w:val="00AE7F2F"/>
    <w:rsid w:val="00AF1955"/>
    <w:rsid w:val="00AF222C"/>
    <w:rsid w:val="00AF32D1"/>
    <w:rsid w:val="00AF774B"/>
    <w:rsid w:val="00AF7F77"/>
    <w:rsid w:val="00B006FD"/>
    <w:rsid w:val="00B00725"/>
    <w:rsid w:val="00B01800"/>
    <w:rsid w:val="00B0289F"/>
    <w:rsid w:val="00B110DE"/>
    <w:rsid w:val="00B11C26"/>
    <w:rsid w:val="00B13244"/>
    <w:rsid w:val="00B138C5"/>
    <w:rsid w:val="00B14ABA"/>
    <w:rsid w:val="00B17964"/>
    <w:rsid w:val="00B17CA7"/>
    <w:rsid w:val="00B204E1"/>
    <w:rsid w:val="00B27C70"/>
    <w:rsid w:val="00B31885"/>
    <w:rsid w:val="00B33062"/>
    <w:rsid w:val="00B36937"/>
    <w:rsid w:val="00B41105"/>
    <w:rsid w:val="00B41F2B"/>
    <w:rsid w:val="00B42D8F"/>
    <w:rsid w:val="00B45AC0"/>
    <w:rsid w:val="00B468D0"/>
    <w:rsid w:val="00B47235"/>
    <w:rsid w:val="00B47FE3"/>
    <w:rsid w:val="00B504F0"/>
    <w:rsid w:val="00B52E48"/>
    <w:rsid w:val="00B53112"/>
    <w:rsid w:val="00B534E7"/>
    <w:rsid w:val="00B5378D"/>
    <w:rsid w:val="00B54CC7"/>
    <w:rsid w:val="00B603FE"/>
    <w:rsid w:val="00B60400"/>
    <w:rsid w:val="00B60E8D"/>
    <w:rsid w:val="00B61F2B"/>
    <w:rsid w:val="00B61F4E"/>
    <w:rsid w:val="00B63907"/>
    <w:rsid w:val="00B63E0D"/>
    <w:rsid w:val="00B64A8D"/>
    <w:rsid w:val="00B658C3"/>
    <w:rsid w:val="00B65F06"/>
    <w:rsid w:val="00B71730"/>
    <w:rsid w:val="00B76CF1"/>
    <w:rsid w:val="00B804C5"/>
    <w:rsid w:val="00B81AB0"/>
    <w:rsid w:val="00B85DDE"/>
    <w:rsid w:val="00B878AB"/>
    <w:rsid w:val="00B905AB"/>
    <w:rsid w:val="00B940E7"/>
    <w:rsid w:val="00B94E61"/>
    <w:rsid w:val="00B965D6"/>
    <w:rsid w:val="00B9723A"/>
    <w:rsid w:val="00BA01E9"/>
    <w:rsid w:val="00BA191A"/>
    <w:rsid w:val="00BA4B83"/>
    <w:rsid w:val="00BA6793"/>
    <w:rsid w:val="00BA778C"/>
    <w:rsid w:val="00BB7170"/>
    <w:rsid w:val="00BC0E9B"/>
    <w:rsid w:val="00BC116A"/>
    <w:rsid w:val="00BC2A2F"/>
    <w:rsid w:val="00BC5A48"/>
    <w:rsid w:val="00BD1295"/>
    <w:rsid w:val="00BD5F3C"/>
    <w:rsid w:val="00BD7FAB"/>
    <w:rsid w:val="00BE07B8"/>
    <w:rsid w:val="00BF114A"/>
    <w:rsid w:val="00BF1157"/>
    <w:rsid w:val="00BF1ECC"/>
    <w:rsid w:val="00BF1ED5"/>
    <w:rsid w:val="00BF34CD"/>
    <w:rsid w:val="00BF6950"/>
    <w:rsid w:val="00C02861"/>
    <w:rsid w:val="00C05E37"/>
    <w:rsid w:val="00C15B2B"/>
    <w:rsid w:val="00C241E1"/>
    <w:rsid w:val="00C247C0"/>
    <w:rsid w:val="00C274AD"/>
    <w:rsid w:val="00C4555D"/>
    <w:rsid w:val="00C53F4E"/>
    <w:rsid w:val="00C54E45"/>
    <w:rsid w:val="00C56411"/>
    <w:rsid w:val="00C5655A"/>
    <w:rsid w:val="00C57248"/>
    <w:rsid w:val="00C57D0A"/>
    <w:rsid w:val="00C617C6"/>
    <w:rsid w:val="00C6199E"/>
    <w:rsid w:val="00C62756"/>
    <w:rsid w:val="00C62C06"/>
    <w:rsid w:val="00C651EE"/>
    <w:rsid w:val="00C758B4"/>
    <w:rsid w:val="00C80CED"/>
    <w:rsid w:val="00C8197E"/>
    <w:rsid w:val="00C83138"/>
    <w:rsid w:val="00C83379"/>
    <w:rsid w:val="00C83CBD"/>
    <w:rsid w:val="00C92F62"/>
    <w:rsid w:val="00CA35E7"/>
    <w:rsid w:val="00CA36C6"/>
    <w:rsid w:val="00CA4671"/>
    <w:rsid w:val="00CA518D"/>
    <w:rsid w:val="00CB04F5"/>
    <w:rsid w:val="00CB1C75"/>
    <w:rsid w:val="00CC4950"/>
    <w:rsid w:val="00CD0015"/>
    <w:rsid w:val="00CD1B7E"/>
    <w:rsid w:val="00CD3B08"/>
    <w:rsid w:val="00CE5678"/>
    <w:rsid w:val="00CE7554"/>
    <w:rsid w:val="00CF0DCB"/>
    <w:rsid w:val="00CF1FFD"/>
    <w:rsid w:val="00CF3360"/>
    <w:rsid w:val="00CF447F"/>
    <w:rsid w:val="00CF4A24"/>
    <w:rsid w:val="00CF6410"/>
    <w:rsid w:val="00CF67F7"/>
    <w:rsid w:val="00CF72AB"/>
    <w:rsid w:val="00D02244"/>
    <w:rsid w:val="00D1494A"/>
    <w:rsid w:val="00D16D8F"/>
    <w:rsid w:val="00D304B1"/>
    <w:rsid w:val="00D36985"/>
    <w:rsid w:val="00D408BD"/>
    <w:rsid w:val="00D41E1D"/>
    <w:rsid w:val="00D44F0D"/>
    <w:rsid w:val="00D504C5"/>
    <w:rsid w:val="00D510BD"/>
    <w:rsid w:val="00D5463C"/>
    <w:rsid w:val="00D54A77"/>
    <w:rsid w:val="00D54F28"/>
    <w:rsid w:val="00D5509E"/>
    <w:rsid w:val="00D72C05"/>
    <w:rsid w:val="00D73652"/>
    <w:rsid w:val="00D75463"/>
    <w:rsid w:val="00D81D0B"/>
    <w:rsid w:val="00D84034"/>
    <w:rsid w:val="00D91958"/>
    <w:rsid w:val="00D94D86"/>
    <w:rsid w:val="00D95520"/>
    <w:rsid w:val="00D959EF"/>
    <w:rsid w:val="00D96CFD"/>
    <w:rsid w:val="00DA2680"/>
    <w:rsid w:val="00DA303D"/>
    <w:rsid w:val="00DA65C4"/>
    <w:rsid w:val="00DA6710"/>
    <w:rsid w:val="00DB0EE5"/>
    <w:rsid w:val="00DB5221"/>
    <w:rsid w:val="00DC1969"/>
    <w:rsid w:val="00DC2C77"/>
    <w:rsid w:val="00DC36DD"/>
    <w:rsid w:val="00DD67B2"/>
    <w:rsid w:val="00DD773F"/>
    <w:rsid w:val="00DF3A90"/>
    <w:rsid w:val="00DF6AE5"/>
    <w:rsid w:val="00DF71AC"/>
    <w:rsid w:val="00E006AB"/>
    <w:rsid w:val="00E056FF"/>
    <w:rsid w:val="00E05A39"/>
    <w:rsid w:val="00E068EB"/>
    <w:rsid w:val="00E10AF3"/>
    <w:rsid w:val="00E1154E"/>
    <w:rsid w:val="00E12163"/>
    <w:rsid w:val="00E12FD3"/>
    <w:rsid w:val="00E22960"/>
    <w:rsid w:val="00E23A66"/>
    <w:rsid w:val="00E2456D"/>
    <w:rsid w:val="00E24DAE"/>
    <w:rsid w:val="00E317AE"/>
    <w:rsid w:val="00E35CDB"/>
    <w:rsid w:val="00E365E0"/>
    <w:rsid w:val="00E414B3"/>
    <w:rsid w:val="00E41761"/>
    <w:rsid w:val="00E41D5B"/>
    <w:rsid w:val="00E425A1"/>
    <w:rsid w:val="00E42EE7"/>
    <w:rsid w:val="00E42F1A"/>
    <w:rsid w:val="00E4656C"/>
    <w:rsid w:val="00E566DC"/>
    <w:rsid w:val="00E575F2"/>
    <w:rsid w:val="00E57AA9"/>
    <w:rsid w:val="00E608C9"/>
    <w:rsid w:val="00E61404"/>
    <w:rsid w:val="00E72EE5"/>
    <w:rsid w:val="00E7340C"/>
    <w:rsid w:val="00E74298"/>
    <w:rsid w:val="00E75D58"/>
    <w:rsid w:val="00E80A23"/>
    <w:rsid w:val="00E851D8"/>
    <w:rsid w:val="00E86E6C"/>
    <w:rsid w:val="00E87593"/>
    <w:rsid w:val="00E91A16"/>
    <w:rsid w:val="00E92E5A"/>
    <w:rsid w:val="00E96E07"/>
    <w:rsid w:val="00EA1819"/>
    <w:rsid w:val="00EA4165"/>
    <w:rsid w:val="00EA47D9"/>
    <w:rsid w:val="00EA52CA"/>
    <w:rsid w:val="00EA5D03"/>
    <w:rsid w:val="00EB06FE"/>
    <w:rsid w:val="00EB3B60"/>
    <w:rsid w:val="00EB7C34"/>
    <w:rsid w:val="00EC0883"/>
    <w:rsid w:val="00EC2D97"/>
    <w:rsid w:val="00ED218E"/>
    <w:rsid w:val="00ED221E"/>
    <w:rsid w:val="00EE040A"/>
    <w:rsid w:val="00EE08AE"/>
    <w:rsid w:val="00EE0EAE"/>
    <w:rsid w:val="00EE22F9"/>
    <w:rsid w:val="00EE44F4"/>
    <w:rsid w:val="00EE4CD0"/>
    <w:rsid w:val="00EE67EF"/>
    <w:rsid w:val="00EE70F0"/>
    <w:rsid w:val="00EF0DE4"/>
    <w:rsid w:val="00EF3CE4"/>
    <w:rsid w:val="00F00470"/>
    <w:rsid w:val="00F02E27"/>
    <w:rsid w:val="00F1384E"/>
    <w:rsid w:val="00F15246"/>
    <w:rsid w:val="00F175D3"/>
    <w:rsid w:val="00F204DE"/>
    <w:rsid w:val="00F2166A"/>
    <w:rsid w:val="00F2222D"/>
    <w:rsid w:val="00F27063"/>
    <w:rsid w:val="00F271F3"/>
    <w:rsid w:val="00F27581"/>
    <w:rsid w:val="00F30179"/>
    <w:rsid w:val="00F31E8D"/>
    <w:rsid w:val="00F3752C"/>
    <w:rsid w:val="00F3764D"/>
    <w:rsid w:val="00F426BC"/>
    <w:rsid w:val="00F43E6D"/>
    <w:rsid w:val="00F44E18"/>
    <w:rsid w:val="00F45F35"/>
    <w:rsid w:val="00F61859"/>
    <w:rsid w:val="00F72FFC"/>
    <w:rsid w:val="00F7313D"/>
    <w:rsid w:val="00F743E0"/>
    <w:rsid w:val="00F80B0B"/>
    <w:rsid w:val="00F819CB"/>
    <w:rsid w:val="00F82475"/>
    <w:rsid w:val="00F83D15"/>
    <w:rsid w:val="00F86494"/>
    <w:rsid w:val="00F87420"/>
    <w:rsid w:val="00F906DD"/>
    <w:rsid w:val="00F9344D"/>
    <w:rsid w:val="00FA00EC"/>
    <w:rsid w:val="00FA2274"/>
    <w:rsid w:val="00FA5FC3"/>
    <w:rsid w:val="00FA61C9"/>
    <w:rsid w:val="00FA62EF"/>
    <w:rsid w:val="00FA6CCD"/>
    <w:rsid w:val="00FA760B"/>
    <w:rsid w:val="00FB0E44"/>
    <w:rsid w:val="00FB2201"/>
    <w:rsid w:val="00FB5081"/>
    <w:rsid w:val="00FC2731"/>
    <w:rsid w:val="00FD22E5"/>
    <w:rsid w:val="00FD298E"/>
    <w:rsid w:val="00FD6731"/>
    <w:rsid w:val="00FD7856"/>
    <w:rsid w:val="00FE5DBD"/>
    <w:rsid w:val="00FF1987"/>
    <w:rsid w:val="00FF2337"/>
    <w:rsid w:val="00FF2960"/>
    <w:rsid w:val="00FF314E"/>
    <w:rsid w:val="00FF3568"/>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aliases w:val="普通 (Web)"/>
    <w:basedOn w:val="a"/>
    <w:unhideWhenUsed/>
    <w:qFormat/>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 w:type="character" w:styleId="afc">
    <w:name w:val="Placeholder Text"/>
    <w:basedOn w:val="a0"/>
    <w:uiPriority w:val="99"/>
    <w:semiHidden/>
    <w:rsid w:val="00B028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5C86-0E8B-48E2-8191-25817F1B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28</Pages>
  <Words>10844</Words>
  <Characters>61812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351</cp:revision>
  <cp:lastPrinted>2025-10-09T07:50:00Z</cp:lastPrinted>
  <dcterms:created xsi:type="dcterms:W3CDTF">2026-03-16T07:28:00Z</dcterms:created>
  <dcterms:modified xsi:type="dcterms:W3CDTF">2026-05-20T07:45:00Z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