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25636" w14:textId="7DBDE20A" w:rsidR="008E47FF" w:rsidRDefault="00096CCB">
      <w:r>
        <w:rPr>
          <w:noProof/>
        </w:rPr>
        <w:drawing>
          <wp:anchor distT="0" distB="0" distL="114300" distR="114300" simplePos="0" relativeHeight="251658240" behindDoc="0" locked="0" layoutInCell="1" allowOverlap="1" wp14:anchorId="0F4AA1FF" wp14:editId="67F5F61E">
            <wp:simplePos x="0" y="0"/>
            <wp:positionH relativeFrom="column">
              <wp:posOffset>906254</wp:posOffset>
            </wp:positionH>
            <wp:positionV relativeFrom="paragraph">
              <wp:posOffset>1723522</wp:posOffset>
            </wp:positionV>
            <wp:extent cx="3515995" cy="3515995"/>
            <wp:effectExtent l="0" t="0" r="8255" b="8255"/>
            <wp:wrapSquare wrapText="bothSides"/>
            <wp:docPr id="128164243" name="Рисунок 1" descr="DFCC2 - Fuse carrier, TeSys DF, 2P, 30A, 600VAC, fuse class CC | Schneider  Electric U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FCC2 - Fuse carrier, TeSys DF, 2P, 30A, 600VAC, fuse class CC | Schneider  Electric US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5995" cy="351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CCB"/>
    <w:rsid w:val="00096553"/>
    <w:rsid w:val="00096CCB"/>
    <w:rsid w:val="00243762"/>
    <w:rsid w:val="005E2343"/>
    <w:rsid w:val="0067169D"/>
    <w:rsid w:val="007F265E"/>
    <w:rsid w:val="008E47FF"/>
    <w:rsid w:val="00A24017"/>
    <w:rsid w:val="00A71C1A"/>
    <w:rsid w:val="00AB5DA4"/>
    <w:rsid w:val="00B61E91"/>
    <w:rsid w:val="00B70B84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AF0D6"/>
  <w15:chartTrackingRefBased/>
  <w15:docId w15:val="{DDFFA4BC-136E-4B8F-AE8B-12FA932F5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96C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6C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6C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6C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6C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6C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6C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6C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6C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6C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96C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96C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96CC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96CC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96CC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96CC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96CC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96CC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96C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96C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6C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96C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96C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96CC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96CC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96CC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96C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96CC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96CC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2026-04-03T04:46:00Z</dcterms:created>
  <dcterms:modified xsi:type="dcterms:W3CDTF">2026-04-03T04:46:00Z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2025-06-17T06:19:58Z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b1456a53-7eb8-4b4a-9927-bb5aa24a2a33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