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0672" w14:textId="4CECDFED" w:rsidR="00020ABB" w:rsidRPr="002A4EBD" w:rsidRDefault="001A4773" w:rsidP="00020ABB">
      <w:pPr>
        <w:pStyle w:val="1"/>
        <w:spacing w:before="0"/>
        <w:jc w:val="right"/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</w:rPr>
        <w:t>Appendix</w:t>
      </w:r>
      <w:r w:rsidR="00020ABB" w:rsidRPr="002A4EBD"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</w:rPr>
        <w:t xml:space="preserve"> 1</w:t>
      </w:r>
    </w:p>
    <w:p w14:paraId="38B8372E" w14:textId="77777777" w:rsidR="00020ABB" w:rsidRPr="002A4EBD" w:rsidRDefault="00020ABB" w:rsidP="00020ABB">
      <w:pPr>
        <w:pStyle w:val="a5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85216" w14:textId="77777777" w:rsidR="008A5B88" w:rsidRDefault="008A5B88" w:rsidP="008A5B88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  <w:r w:rsidRPr="002A4EBD"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  <w:t>IRB Requirements</w:t>
      </w:r>
    </w:p>
    <w:p w14:paraId="71B1C88A" w14:textId="56E4AAEE" w:rsidR="00020ABB" w:rsidRPr="002A4EBD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A4EBD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2A4EBD" w:rsidRPr="002A4EBD">
        <w:rPr>
          <w:rFonts w:ascii="Times New Roman" w:hAnsi="Times New Roman" w:cs="Times New Roman"/>
          <w:i/>
          <w:iCs/>
          <w:color w:val="auto"/>
          <w:sz w:val="24"/>
          <w:szCs w:val="24"/>
        </w:rPr>
        <w:t>General Participation Conditions</w:t>
      </w:r>
    </w:p>
    <w:p w14:paraId="4C674421" w14:textId="0A43A7A4" w:rsidR="00020ABB" w:rsidRPr="00390538" w:rsidRDefault="00A6744E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6744E">
        <w:rPr>
          <w:rFonts w:ascii="Times New Roman" w:hAnsi="Times New Roman" w:cs="Times New Roman"/>
          <w:sz w:val="24"/>
          <w:szCs w:val="24"/>
        </w:rPr>
        <w:t>Legal registration of the company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6A487" w14:textId="4973048C" w:rsidR="00EB0DF0" w:rsidRPr="00EB0DF0" w:rsidRDefault="00EB0DF0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B0DF0">
        <w:rPr>
          <w:rFonts w:ascii="Times New Roman" w:hAnsi="Times New Roman" w:cs="Times New Roman"/>
          <w:sz w:val="24"/>
          <w:szCs w:val="24"/>
        </w:rPr>
        <w:t>Absence of conflict of interest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0850F8" w14:textId="47D6EFF8" w:rsidR="00020ABB" w:rsidRPr="007901BA" w:rsidRDefault="00EB0DF0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901BA">
        <w:rPr>
          <w:rFonts w:ascii="Times New Roman" w:hAnsi="Times New Roman" w:cs="Times New Roman"/>
          <w:sz w:val="24"/>
          <w:szCs w:val="24"/>
        </w:rPr>
        <w:t>Financial standing and stability (upon request of the Client).</w:t>
      </w:r>
    </w:p>
    <w:p w14:paraId="1F16FA03" w14:textId="4BAEA61A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7901BA" w:rsidRPr="007901BA">
        <w:rPr>
          <w:rFonts w:ascii="Times New Roman" w:hAnsi="Times New Roman" w:cs="Times New Roman"/>
          <w:i/>
          <w:iCs/>
          <w:color w:val="auto"/>
          <w:sz w:val="24"/>
          <w:szCs w:val="24"/>
        </w:rPr>
        <w:t>Confirmation of the Company’s Qualifications</w:t>
      </w:r>
    </w:p>
    <w:p w14:paraId="1B45E298" w14:textId="1003F843" w:rsidR="00265010" w:rsidRPr="00265010" w:rsidRDefault="00265010" w:rsidP="00265010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65010">
        <w:rPr>
          <w:rFonts w:ascii="Times New Roman" w:eastAsia="Times New Roman" w:hAnsi="Times New Roman" w:cs="Times New Roman"/>
          <w:sz w:val="24"/>
          <w:szCs w:val="24"/>
        </w:rPr>
        <w:t xml:space="preserve">List of IRB / ITRB projects completed over the last 10 years, including facility, country, consequence classification and the company’s role; </w:t>
      </w:r>
    </w:p>
    <w:p w14:paraId="7E8378A6" w14:textId="77777777" w:rsidR="00265010" w:rsidRPr="00265010" w:rsidRDefault="00265010" w:rsidP="00265010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65010">
        <w:rPr>
          <w:rFonts w:ascii="Times New Roman" w:eastAsia="Times New Roman" w:hAnsi="Times New Roman" w:cs="Times New Roman"/>
          <w:sz w:val="24"/>
          <w:szCs w:val="24"/>
        </w:rPr>
        <w:t xml:space="preserve">Evidence of competence and experience in compliance with GISTM / ICMM, ICOLD, ANCOLD and CDA; </w:t>
      </w:r>
    </w:p>
    <w:p w14:paraId="6CF0F40D" w14:textId="77777777" w:rsidR="00265010" w:rsidRPr="00265010" w:rsidRDefault="00265010" w:rsidP="00265010">
      <w:pPr>
        <w:pStyle w:val="a"/>
        <w:spacing w:after="12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65010">
        <w:rPr>
          <w:rFonts w:ascii="Times New Roman" w:eastAsia="Times New Roman" w:hAnsi="Times New Roman" w:cs="Times New Roman"/>
          <w:sz w:val="24"/>
          <w:szCs w:val="24"/>
        </w:rPr>
        <w:t xml:space="preserve">Availability of internal standards and procedures for Tailings Facilities (if any); </w:t>
      </w:r>
    </w:p>
    <w:p w14:paraId="258842CC" w14:textId="563290FC" w:rsidR="00265010" w:rsidRPr="00265010" w:rsidRDefault="00265010" w:rsidP="00265010">
      <w:pPr>
        <w:pStyle w:val="a"/>
        <w:spacing w:after="12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65010">
        <w:rPr>
          <w:rFonts w:ascii="Times New Roman" w:eastAsia="Times New Roman" w:hAnsi="Times New Roman" w:cs="Times New Roman"/>
          <w:sz w:val="24"/>
          <w:szCs w:val="24"/>
        </w:rPr>
        <w:t>IRB / ITRB experience on facilities with High / Very High Consequence classification.</w:t>
      </w:r>
    </w:p>
    <w:p w14:paraId="4C754F9A" w14:textId="5D2C5FA1" w:rsidR="00E44D78" w:rsidRPr="00B61382" w:rsidRDefault="00020ABB" w:rsidP="00B61382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600B7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E44D78" w:rsidRPr="00E44D78">
        <w:rPr>
          <w:rFonts w:ascii="Times New Roman" w:hAnsi="Times New Roman" w:cs="Times New Roman"/>
          <w:i/>
          <w:iCs/>
          <w:color w:val="auto"/>
          <w:sz w:val="24"/>
          <w:szCs w:val="24"/>
        </w:rPr>
        <w:t>IRB‑5 Team Requirements</w:t>
      </w:r>
    </w:p>
    <w:p w14:paraId="666A736C" w14:textId="77777777" w:rsidR="00E44D78" w:rsidRDefault="00E44D78" w:rsidP="00E44D78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44D78">
        <w:rPr>
          <w:rFonts w:ascii="Times New Roman" w:hAnsi="Times New Roman" w:cs="Times New Roman"/>
          <w:sz w:val="24"/>
          <w:szCs w:val="24"/>
        </w:rPr>
        <w:t>CVs and diplomas of relevant professional education;</w:t>
      </w:r>
    </w:p>
    <w:p w14:paraId="68B3A4E8" w14:textId="77777777" w:rsidR="00E44D78" w:rsidRDefault="00E44D78" w:rsidP="00E44D78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44D78">
        <w:rPr>
          <w:rFonts w:ascii="Times New Roman" w:hAnsi="Times New Roman" w:cs="Times New Roman"/>
          <w:sz w:val="24"/>
          <w:szCs w:val="24"/>
        </w:rPr>
        <w:t>Professional certifications (preferably PE / P.Eng / CEng);</w:t>
      </w:r>
    </w:p>
    <w:p w14:paraId="26270633" w14:textId="77777777" w:rsidR="00E44D78" w:rsidRDefault="00E44D78" w:rsidP="00E44D78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44D78">
        <w:rPr>
          <w:rFonts w:ascii="Times New Roman" w:hAnsi="Times New Roman" w:cs="Times New Roman"/>
          <w:sz w:val="24"/>
          <w:szCs w:val="24"/>
        </w:rPr>
        <w:t>Confirmed professional experience of 10–20+ years within relevant areas of specialization;</w:t>
      </w:r>
    </w:p>
    <w:p w14:paraId="18803761" w14:textId="4469B3E4" w:rsidR="00E44D78" w:rsidRPr="00E44D78" w:rsidRDefault="00E44D78" w:rsidP="00E44D78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44D78">
        <w:rPr>
          <w:rFonts w:ascii="Times New Roman" w:hAnsi="Times New Roman" w:cs="Times New Roman"/>
          <w:sz w:val="24"/>
          <w:szCs w:val="24"/>
        </w:rPr>
        <w:t>Availability and readiness for on‑site inspections.</w:t>
      </w:r>
    </w:p>
    <w:p w14:paraId="3BD458F1" w14:textId="2C324292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="006B5D8B" w:rsidRPr="006B5D8B">
        <w:rPr>
          <w:rFonts w:ascii="Times New Roman" w:hAnsi="Times New Roman" w:cs="Times New Roman"/>
          <w:i/>
          <w:iCs/>
          <w:color w:val="auto"/>
          <w:sz w:val="24"/>
          <w:szCs w:val="24"/>
        </w:rPr>
        <w:t>Technical Capability of the Participant</w:t>
      </w:r>
    </w:p>
    <w:p w14:paraId="4C9B48BE" w14:textId="7CF34931" w:rsidR="006B5D8B" w:rsidRDefault="006B5D8B" w:rsidP="006B5D8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B5D8B">
        <w:rPr>
          <w:rFonts w:ascii="Times New Roman" w:hAnsi="Times New Roman" w:cs="Times New Roman"/>
          <w:sz w:val="24"/>
          <w:szCs w:val="24"/>
        </w:rPr>
        <w:t>Review of stability, seepage, hydrology and seismicity;</w:t>
      </w:r>
    </w:p>
    <w:p w14:paraId="3ECE6682" w14:textId="77777777" w:rsidR="006B5D8B" w:rsidRDefault="006B5D8B" w:rsidP="006B5D8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B5D8B">
        <w:rPr>
          <w:rFonts w:ascii="Times New Roman" w:hAnsi="Times New Roman" w:cs="Times New Roman"/>
          <w:sz w:val="24"/>
          <w:szCs w:val="24"/>
        </w:rPr>
        <w:t>Review of breach analysis prepared by the Designer;</w:t>
      </w:r>
    </w:p>
    <w:p w14:paraId="2EF65F70" w14:textId="77777777" w:rsidR="006B5D8B" w:rsidRDefault="006B5D8B" w:rsidP="006B5D8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B5D8B">
        <w:rPr>
          <w:rFonts w:ascii="Times New Roman" w:hAnsi="Times New Roman" w:cs="Times New Roman"/>
          <w:sz w:val="24"/>
          <w:szCs w:val="24"/>
        </w:rPr>
        <w:t>Assessment of TARPs and monitoring systems;</w:t>
      </w:r>
    </w:p>
    <w:p w14:paraId="27A10F8E" w14:textId="6880C444" w:rsidR="006B5D8B" w:rsidRPr="006B5D8B" w:rsidRDefault="006B5D8B" w:rsidP="006B5D8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B5D8B">
        <w:rPr>
          <w:rFonts w:ascii="Times New Roman" w:hAnsi="Times New Roman" w:cs="Times New Roman"/>
          <w:sz w:val="24"/>
          <w:szCs w:val="24"/>
        </w:rPr>
        <w:t>Verification of compliance with GISTM / ICMM requirements and preparation of deliverables.</w:t>
      </w:r>
    </w:p>
    <w:p w14:paraId="632489AB" w14:textId="3AEAE41B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D51A5D" w:rsidRPr="00D51A5D">
        <w:rPr>
          <w:rFonts w:ascii="Times New Roman" w:hAnsi="Times New Roman" w:cs="Times New Roman"/>
          <w:i/>
          <w:iCs/>
          <w:color w:val="auto"/>
          <w:sz w:val="24"/>
          <w:szCs w:val="24"/>
        </w:rPr>
        <w:t>Independence</w:t>
      </w:r>
    </w:p>
    <w:p w14:paraId="061A0E82" w14:textId="77777777" w:rsidR="00D51A5D" w:rsidRDefault="00D51A5D" w:rsidP="00D51A5D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51A5D">
        <w:rPr>
          <w:rFonts w:ascii="Times New Roman" w:hAnsi="Times New Roman" w:cs="Times New Roman"/>
          <w:sz w:val="24"/>
          <w:szCs w:val="24"/>
        </w:rPr>
        <w:t>No involvement in the design and/or construction of the facility;</w:t>
      </w:r>
    </w:p>
    <w:p w14:paraId="5541D1E1" w14:textId="77777777" w:rsidR="00D51A5D" w:rsidRDefault="00D51A5D" w:rsidP="00D51A5D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51A5D">
        <w:rPr>
          <w:rFonts w:ascii="Times New Roman" w:hAnsi="Times New Roman" w:cs="Times New Roman"/>
          <w:sz w:val="24"/>
          <w:szCs w:val="24"/>
        </w:rPr>
        <w:t>No financial relationships with contractors involved in the Project;</w:t>
      </w:r>
    </w:p>
    <w:p w14:paraId="39CE9513" w14:textId="12655A31" w:rsidR="00D51A5D" w:rsidRPr="00D51A5D" w:rsidRDefault="00D51A5D" w:rsidP="00D51A5D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51A5D">
        <w:rPr>
          <w:rFonts w:ascii="Times New Roman" w:hAnsi="Times New Roman" w:cs="Times New Roman"/>
          <w:sz w:val="24"/>
          <w:szCs w:val="24"/>
        </w:rPr>
        <w:t>Willingness to sign a Declaration of Independence.</w:t>
      </w:r>
    </w:p>
    <w:p w14:paraId="336ED4A8" w14:textId="46DDA446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r w:rsidR="00F270EF" w:rsidRPr="00F270EF">
        <w:rPr>
          <w:rFonts w:ascii="Times New Roman" w:hAnsi="Times New Roman" w:cs="Times New Roman"/>
          <w:color w:val="auto"/>
          <w:sz w:val="24"/>
          <w:szCs w:val="24"/>
        </w:rPr>
        <w:t>Preliminary Compliance Assessment</w:t>
      </w:r>
    </w:p>
    <w:tbl>
      <w:tblPr>
        <w:tblStyle w:val="af"/>
        <w:tblW w:w="9738" w:type="dxa"/>
        <w:tblLook w:val="04A0" w:firstRow="1" w:lastRow="0" w:firstColumn="1" w:lastColumn="0" w:noHBand="0" w:noVBand="1"/>
      </w:tblPr>
      <w:tblGrid>
        <w:gridCol w:w="2880"/>
        <w:gridCol w:w="1008"/>
        <w:gridCol w:w="5850"/>
      </w:tblGrid>
      <w:tr w:rsidR="00F270EF" w:rsidRPr="00390538" w14:paraId="2A65F142" w14:textId="77777777" w:rsidTr="009E7C10">
        <w:tc>
          <w:tcPr>
            <w:tcW w:w="2880" w:type="dxa"/>
            <w:vAlign w:val="center"/>
          </w:tcPr>
          <w:p w14:paraId="3DE0F5E4" w14:textId="2C733525" w:rsidR="00F270EF" w:rsidRPr="00F270EF" w:rsidRDefault="00F270EF" w:rsidP="00F270E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0EF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Criterion</w:t>
            </w:r>
          </w:p>
        </w:tc>
        <w:tc>
          <w:tcPr>
            <w:tcW w:w="1008" w:type="dxa"/>
            <w:vAlign w:val="center"/>
          </w:tcPr>
          <w:p w14:paraId="7A4602E4" w14:textId="2A1AD82F" w:rsidR="00F270EF" w:rsidRPr="00F270EF" w:rsidRDefault="00F270EF" w:rsidP="00F270E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0EF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5850" w:type="dxa"/>
            <w:vAlign w:val="center"/>
          </w:tcPr>
          <w:p w14:paraId="6AE9E793" w14:textId="6D4BF47F" w:rsidR="00F270EF" w:rsidRPr="00F270EF" w:rsidRDefault="00F270EF" w:rsidP="00F270E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0EF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Compliance Condition</w:t>
            </w:r>
          </w:p>
        </w:tc>
      </w:tr>
      <w:tr w:rsidR="00DA552D" w:rsidRPr="00390538" w14:paraId="7708E7CC" w14:textId="77777777" w:rsidTr="006F7CED">
        <w:tc>
          <w:tcPr>
            <w:tcW w:w="2880" w:type="dxa"/>
            <w:vAlign w:val="center"/>
          </w:tcPr>
          <w:p w14:paraId="23E53863" w14:textId="3F77FDD6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Company Experience</w:t>
            </w:r>
          </w:p>
        </w:tc>
        <w:tc>
          <w:tcPr>
            <w:tcW w:w="1008" w:type="dxa"/>
            <w:vAlign w:val="center"/>
          </w:tcPr>
          <w:p w14:paraId="2BB0E56A" w14:textId="5488BBF6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30%</w:t>
            </w:r>
          </w:p>
        </w:tc>
        <w:tc>
          <w:tcPr>
            <w:tcW w:w="5850" w:type="dxa"/>
            <w:vAlign w:val="center"/>
          </w:tcPr>
          <w:p w14:paraId="3C5DD6DE" w14:textId="36923014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 years of experience</w:t>
            </w:r>
            <w:r w:rsidRPr="00FF2067">
              <w:rPr>
                <w:rFonts w:ascii="Times New Roman" w:hAnsi="Times New Roman" w:cs="Times New Roman"/>
                <w:sz w:val="24"/>
                <w:szCs w:val="24"/>
              </w:rPr>
              <w:t xml:space="preserve">; ≥ </w:t>
            </w: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 IRB / ITRB projects</w:t>
            </w:r>
            <w:r w:rsidRPr="00FF2067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High Consequence Class</w:t>
            </w:r>
          </w:p>
        </w:tc>
      </w:tr>
      <w:tr w:rsidR="00DA552D" w:rsidRPr="00390538" w14:paraId="3C8C0E5C" w14:textId="77777777" w:rsidTr="006F7CED">
        <w:tc>
          <w:tcPr>
            <w:tcW w:w="2880" w:type="dxa"/>
            <w:vAlign w:val="center"/>
          </w:tcPr>
          <w:p w14:paraId="2BB1858E" w14:textId="5E8B7623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IRB</w:t>
            </w: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noBreakHyphen/>
              <w:t>5 Qualifications</w:t>
            </w:r>
          </w:p>
        </w:tc>
        <w:tc>
          <w:tcPr>
            <w:tcW w:w="1008" w:type="dxa"/>
            <w:vAlign w:val="center"/>
          </w:tcPr>
          <w:p w14:paraId="545D6995" w14:textId="5DB4224E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40%</w:t>
            </w:r>
          </w:p>
        </w:tc>
        <w:tc>
          <w:tcPr>
            <w:tcW w:w="5850" w:type="dxa"/>
            <w:vAlign w:val="center"/>
          </w:tcPr>
          <w:p w14:paraId="1EA86088" w14:textId="0860BD3A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Fonts w:ascii="Times New Roman" w:hAnsi="Times New Roman" w:cs="Times New Roman"/>
                <w:sz w:val="24"/>
                <w:szCs w:val="24"/>
              </w:rPr>
              <w:t xml:space="preserve">Relevant professional profile; </w:t>
            </w: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≥ 10–20 years of confirmed experience</w:t>
            </w:r>
          </w:p>
        </w:tc>
      </w:tr>
      <w:tr w:rsidR="00DA552D" w:rsidRPr="00390538" w14:paraId="68FC32A9" w14:textId="77777777" w:rsidTr="006F7CED">
        <w:tc>
          <w:tcPr>
            <w:tcW w:w="2880" w:type="dxa"/>
            <w:vAlign w:val="center"/>
          </w:tcPr>
          <w:p w14:paraId="640FA7CD" w14:textId="1FDDD550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Compliance with Standards</w:t>
            </w:r>
          </w:p>
        </w:tc>
        <w:tc>
          <w:tcPr>
            <w:tcW w:w="1008" w:type="dxa"/>
            <w:vAlign w:val="center"/>
          </w:tcPr>
          <w:p w14:paraId="47A54F25" w14:textId="5430BD99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20%</w:t>
            </w:r>
          </w:p>
        </w:tc>
        <w:tc>
          <w:tcPr>
            <w:tcW w:w="5850" w:type="dxa"/>
            <w:vAlign w:val="center"/>
          </w:tcPr>
          <w:p w14:paraId="2BDA18F5" w14:textId="62E06976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2067">
              <w:rPr>
                <w:rFonts w:ascii="Times New Roman" w:hAnsi="Times New Roman" w:cs="Times New Roman"/>
                <w:sz w:val="24"/>
                <w:szCs w:val="24"/>
              </w:rPr>
              <w:t xml:space="preserve">Evidence of compliance with </w:t>
            </w: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GISTM / ICMM, ICOLD, ANCOLD, CDA</w:t>
            </w:r>
          </w:p>
        </w:tc>
      </w:tr>
      <w:tr w:rsidR="00DA552D" w:rsidRPr="00390538" w14:paraId="74A1A9D1" w14:textId="77777777" w:rsidTr="006F7CED">
        <w:tc>
          <w:tcPr>
            <w:tcW w:w="2880" w:type="dxa"/>
            <w:vAlign w:val="center"/>
          </w:tcPr>
          <w:p w14:paraId="2E307E6C" w14:textId="25743B6D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Independence</w:t>
            </w:r>
          </w:p>
        </w:tc>
        <w:tc>
          <w:tcPr>
            <w:tcW w:w="1008" w:type="dxa"/>
            <w:vAlign w:val="center"/>
          </w:tcPr>
          <w:p w14:paraId="156EC6D6" w14:textId="03CB5FA9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10%</w:t>
            </w:r>
          </w:p>
        </w:tc>
        <w:tc>
          <w:tcPr>
            <w:tcW w:w="5850" w:type="dxa"/>
            <w:vAlign w:val="center"/>
          </w:tcPr>
          <w:p w14:paraId="55CEABCD" w14:textId="1D9C02B8" w:rsidR="00DA552D" w:rsidRPr="00FF2067" w:rsidRDefault="00DA552D" w:rsidP="00DA552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067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Full absence of conflict of interest (CoI)</w:t>
            </w:r>
          </w:p>
        </w:tc>
      </w:tr>
    </w:tbl>
    <w:p w14:paraId="78FCA8AA" w14:textId="77777777" w:rsidR="00020ABB" w:rsidRPr="00DA552D" w:rsidRDefault="00020ABB" w:rsidP="00020ABB">
      <w:pPr>
        <w:spacing w:after="120" w:line="240" w:lineRule="auto"/>
        <w:rPr>
          <w:rFonts w:ascii="Times New Roman" w:hAnsi="Times New Roman" w:cs="Times New Roman"/>
        </w:rPr>
      </w:pPr>
    </w:p>
    <w:p w14:paraId="0FDF77C6" w14:textId="77777777" w:rsidR="00020ABB" w:rsidRPr="00DA552D" w:rsidRDefault="00020ABB" w:rsidP="00020ABB">
      <w:pPr>
        <w:spacing w:after="120" w:line="240" w:lineRule="auto"/>
        <w:rPr>
          <w:rFonts w:ascii="Times New Roman" w:hAnsi="Times New Roman" w:cs="Times New Roman"/>
        </w:rPr>
      </w:pPr>
    </w:p>
    <w:p w14:paraId="0B029DB5" w14:textId="77777777" w:rsidR="00020ABB" w:rsidRPr="00DA552D" w:rsidRDefault="00020ABB" w:rsidP="00020ABB">
      <w:pPr>
        <w:rPr>
          <w:rFonts w:ascii="Times New Roman" w:hAnsi="Times New Roman" w:cs="Times New Roman"/>
        </w:rPr>
      </w:pPr>
    </w:p>
    <w:p w14:paraId="7E68D3C2" w14:textId="77777777" w:rsidR="00020ABB" w:rsidRPr="00DA552D" w:rsidRDefault="00020ABB" w:rsidP="00020ABB">
      <w:pPr>
        <w:rPr>
          <w:rFonts w:ascii="Times New Roman" w:hAnsi="Times New Roman" w:cs="Times New Roman"/>
        </w:rPr>
      </w:pPr>
    </w:p>
    <w:p w14:paraId="4AB148A1" w14:textId="7E8E9492" w:rsidR="00020ABB" w:rsidRPr="00FD797A" w:rsidRDefault="00FF2067" w:rsidP="00FF206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D797A">
        <w:rPr>
          <w:rFonts w:ascii="Times New Roman" w:hAnsi="Times New Roman" w:cs="Times New Roman"/>
          <w:b/>
          <w:bCs/>
          <w:sz w:val="24"/>
          <w:szCs w:val="24"/>
        </w:rPr>
        <w:t>Appendix 2</w:t>
      </w:r>
    </w:p>
    <w:p w14:paraId="1EA70529" w14:textId="77777777" w:rsidR="00FF2067" w:rsidRDefault="00FF2067" w:rsidP="00020AB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858E3" w14:textId="77777777" w:rsidR="00685C7F" w:rsidRPr="00FD797A" w:rsidRDefault="00685C7F" w:rsidP="00685C7F">
      <w:pPr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</w:rPr>
      </w:pPr>
      <w:r w:rsidRPr="00685C7F">
        <w:rPr>
          <w:rFonts w:ascii="Times New Roman" w:eastAsiaTheme="majorEastAsia" w:hAnsi="Times New Roman" w:cs="Times New Roman"/>
          <w:b/>
          <w:bCs/>
          <w:spacing w:val="-10"/>
          <w:kern w:val="28"/>
        </w:rPr>
        <w:t>Declaration</w:t>
      </w:r>
      <w:r w:rsidRPr="00FD797A">
        <w:rPr>
          <w:rFonts w:ascii="Times New Roman" w:eastAsiaTheme="majorEastAsia" w:hAnsi="Times New Roman" w:cs="Times New Roman"/>
          <w:b/>
          <w:bCs/>
          <w:spacing w:val="-10"/>
          <w:kern w:val="28"/>
        </w:rPr>
        <w:t xml:space="preserve"> </w:t>
      </w:r>
      <w:r w:rsidRPr="00685C7F">
        <w:rPr>
          <w:rFonts w:ascii="Times New Roman" w:eastAsiaTheme="majorEastAsia" w:hAnsi="Times New Roman" w:cs="Times New Roman"/>
          <w:b/>
          <w:bCs/>
          <w:spacing w:val="-10"/>
          <w:kern w:val="28"/>
        </w:rPr>
        <w:t>of</w:t>
      </w:r>
      <w:r w:rsidRPr="00FD797A">
        <w:rPr>
          <w:rFonts w:ascii="Times New Roman" w:eastAsiaTheme="majorEastAsia" w:hAnsi="Times New Roman" w:cs="Times New Roman"/>
          <w:b/>
          <w:bCs/>
          <w:spacing w:val="-10"/>
          <w:kern w:val="28"/>
        </w:rPr>
        <w:t xml:space="preserve"> </w:t>
      </w:r>
      <w:r w:rsidRPr="00685C7F">
        <w:rPr>
          <w:rFonts w:ascii="Times New Roman" w:eastAsiaTheme="majorEastAsia" w:hAnsi="Times New Roman" w:cs="Times New Roman"/>
          <w:b/>
          <w:bCs/>
          <w:spacing w:val="-10"/>
          <w:kern w:val="28"/>
        </w:rPr>
        <w:t>Independence</w:t>
      </w:r>
    </w:p>
    <w:p w14:paraId="1DA9E9D3" w14:textId="7639645F" w:rsidR="00685C7F" w:rsidRPr="00685C7F" w:rsidRDefault="00685C7F" w:rsidP="00685C7F">
      <w:pPr>
        <w:rPr>
          <w:rFonts w:ascii="Times New Roman" w:hAnsi="Times New Roman" w:cs="Times New Roman"/>
        </w:rPr>
      </w:pPr>
      <w:r w:rsidRPr="00685C7F">
        <w:rPr>
          <w:rFonts w:ascii="Times New Roman" w:hAnsi="Times New Roman" w:cs="Times New Roman"/>
        </w:rPr>
        <w:t>We, [Name of the Organization], hereby confirm the absence of any conflict of interest in relation to the Project “</w:t>
      </w:r>
      <w:r w:rsidR="00F41A13" w:rsidRPr="00AA25D9">
        <w:rPr>
          <w:rFonts w:ascii="Times New Roman" w:hAnsi="Times New Roman" w:cs="Times New Roman"/>
        </w:rPr>
        <w:t>Transfer Tailings Storage Facility and Tailings Management System of the Historical Tailings Processing Complex of the Kumtor Mine Mill</w:t>
      </w:r>
      <w:r w:rsidRPr="00685C7F">
        <w:rPr>
          <w:rFonts w:ascii="Times New Roman" w:hAnsi="Times New Roman" w:cs="Times New Roman"/>
        </w:rPr>
        <w:t>.”</w:t>
      </w:r>
      <w:r w:rsidR="00743D0F">
        <w:rPr>
          <w:rFonts w:ascii="Times New Roman" w:hAnsi="Times New Roman" w:cs="Times New Roman"/>
        </w:rPr>
        <w:t xml:space="preserve"> </w:t>
      </w:r>
    </w:p>
    <w:p w14:paraId="1A7C06B7" w14:textId="77777777" w:rsidR="00685C7F" w:rsidRPr="00685C7F" w:rsidRDefault="00685C7F" w:rsidP="00685C7F">
      <w:pPr>
        <w:rPr>
          <w:rFonts w:ascii="Times New Roman" w:hAnsi="Times New Roman" w:cs="Times New Roman"/>
        </w:rPr>
      </w:pPr>
      <w:r w:rsidRPr="00685C7F">
        <w:rPr>
          <w:rFonts w:ascii="Times New Roman" w:hAnsi="Times New Roman" w:cs="Times New Roman"/>
        </w:rPr>
        <w:t>We confirm that we have not been involved in the design and/or construction of the above</w:t>
      </w:r>
      <w:r w:rsidRPr="00685C7F">
        <w:rPr>
          <w:rFonts w:ascii="Times New Roman" w:hAnsi="Times New Roman" w:cs="Times New Roman"/>
        </w:rPr>
        <w:noBreakHyphen/>
        <w:t>referenced facility, have no financial relationships with the contractors, and hereby confirm the independence of the IRB</w:t>
      </w:r>
      <w:r w:rsidRPr="00685C7F">
        <w:rPr>
          <w:rFonts w:ascii="Times New Roman" w:hAnsi="Times New Roman" w:cs="Times New Roman"/>
        </w:rPr>
        <w:noBreakHyphen/>
        <w:t>5 members.</w:t>
      </w:r>
    </w:p>
    <w:p w14:paraId="231A63C3" w14:textId="77777777" w:rsidR="00685C7F" w:rsidRPr="00685C7F" w:rsidRDefault="00685C7F" w:rsidP="00685C7F">
      <w:pPr>
        <w:rPr>
          <w:rFonts w:ascii="Times New Roman" w:hAnsi="Times New Roman" w:cs="Times New Roman"/>
        </w:rPr>
      </w:pPr>
      <w:r w:rsidRPr="00685C7F">
        <w:rPr>
          <w:rFonts w:ascii="Times New Roman" w:hAnsi="Times New Roman" w:cs="Times New Roman"/>
        </w:rPr>
        <w:t>Signature: ____________________</w:t>
      </w:r>
      <w:r w:rsidRPr="00685C7F">
        <w:rPr>
          <w:rFonts w:ascii="Times New Roman" w:hAnsi="Times New Roman" w:cs="Times New Roman"/>
        </w:rPr>
        <w:br/>
        <w:t>Date: ________________________</w:t>
      </w:r>
    </w:p>
    <w:p w14:paraId="60BA4275" w14:textId="77777777" w:rsidR="00685C7F" w:rsidRPr="00685C7F" w:rsidRDefault="00685C7F" w:rsidP="00020ABB">
      <w:pPr>
        <w:rPr>
          <w:rFonts w:ascii="Times New Roman" w:hAnsi="Times New Roman" w:cs="Times New Roman"/>
          <w:b/>
          <w:bCs/>
        </w:rPr>
      </w:pPr>
    </w:p>
    <w:p w14:paraId="4B7B61D7" w14:textId="78FCD98E" w:rsidR="00600B78" w:rsidRPr="009C4AF1" w:rsidRDefault="00600B78">
      <w:pPr>
        <w:rPr>
          <w:rFonts w:ascii="Times New Roman" w:hAnsi="Times New Roman" w:cs="Times New Roman"/>
        </w:rPr>
      </w:pPr>
      <w:r w:rsidRPr="009C4AF1">
        <w:rPr>
          <w:rFonts w:ascii="Times New Roman" w:hAnsi="Times New Roman" w:cs="Times New Roman"/>
        </w:rPr>
        <w:br w:type="page"/>
      </w:r>
    </w:p>
    <w:p w14:paraId="57655E87" w14:textId="7239A390" w:rsidR="00020ABB" w:rsidRPr="009C4AF1" w:rsidRDefault="00346F0A" w:rsidP="00020ABB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Appendix</w:t>
      </w:r>
      <w:r w:rsidR="00020ABB" w:rsidRPr="009C4AF1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</w:p>
    <w:p w14:paraId="66E850AF" w14:textId="2F35CCE6" w:rsidR="00020ABB" w:rsidRPr="009C4AF1" w:rsidRDefault="00020ABB" w:rsidP="00020A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A5930">
        <w:rPr>
          <w:rFonts w:ascii="Times New Roman" w:hAnsi="Times New Roman" w:cs="Times New Roman"/>
          <w:color w:val="auto"/>
          <w:sz w:val="24"/>
          <w:szCs w:val="24"/>
        </w:rPr>
        <w:t>IRB</w:t>
      </w:r>
      <w:r w:rsidRPr="009C4A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4AF1">
        <w:rPr>
          <w:rFonts w:ascii="Times New Roman" w:hAnsi="Times New Roman" w:cs="Times New Roman"/>
          <w:color w:val="auto"/>
          <w:sz w:val="24"/>
          <w:szCs w:val="24"/>
        </w:rPr>
        <w:t xml:space="preserve">Checklist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GISTM</w:t>
      </w:r>
      <w:r w:rsidRPr="009C4AF1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ICOLD</w:t>
      </w:r>
      <w:r w:rsidRPr="009C4AF1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ANCOLD</w:t>
      </w:r>
      <w:r w:rsidRPr="009C4AF1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CDA</w:t>
      </w:r>
      <w:r w:rsidRPr="009C4AF1">
        <w:rPr>
          <w:rFonts w:ascii="Times New Roman" w:hAnsi="Times New Roman" w:cs="Times New Roman"/>
          <w:color w:val="auto"/>
          <w:sz w:val="24"/>
          <w:szCs w:val="24"/>
        </w:rPr>
        <w:t>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3405"/>
        <w:gridCol w:w="3399"/>
      </w:tblGrid>
      <w:tr w:rsidR="009C4AF1" w:rsidRPr="00814CB3" w14:paraId="19B21F96" w14:textId="77777777" w:rsidTr="00F66519">
        <w:tc>
          <w:tcPr>
            <w:tcW w:w="2754" w:type="dxa"/>
            <w:vAlign w:val="center"/>
          </w:tcPr>
          <w:p w14:paraId="796C3C23" w14:textId="4E2AAFD4" w:rsidR="009C4AF1" w:rsidRPr="009C4AF1" w:rsidRDefault="009C4AF1" w:rsidP="009C4AF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4AF1">
              <w:rPr>
                <w:rStyle w:val="af0"/>
                <w:rFonts w:ascii="Times New Roman" w:hAnsi="Times New Roman" w:cs="Times New Roman"/>
              </w:rPr>
              <w:t>Section</w:t>
            </w:r>
          </w:p>
        </w:tc>
        <w:tc>
          <w:tcPr>
            <w:tcW w:w="3405" w:type="dxa"/>
            <w:vAlign w:val="center"/>
          </w:tcPr>
          <w:p w14:paraId="484C0080" w14:textId="0E7365E3" w:rsidR="009C4AF1" w:rsidRPr="009C4AF1" w:rsidRDefault="009C4AF1" w:rsidP="009C4AF1">
            <w:pPr>
              <w:rPr>
                <w:rFonts w:ascii="Times New Roman" w:hAnsi="Times New Roman" w:cs="Times New Roman"/>
                <w:b/>
                <w:bCs/>
              </w:rPr>
            </w:pPr>
            <w:r w:rsidRPr="009C4AF1">
              <w:rPr>
                <w:rStyle w:val="af0"/>
                <w:rFonts w:ascii="Times New Roman" w:hAnsi="Times New Roman" w:cs="Times New Roman"/>
              </w:rPr>
              <w:t>Question / Requirement</w:t>
            </w:r>
          </w:p>
        </w:tc>
        <w:tc>
          <w:tcPr>
            <w:tcW w:w="3399" w:type="dxa"/>
            <w:vAlign w:val="center"/>
          </w:tcPr>
          <w:p w14:paraId="26BC1D05" w14:textId="51C35D19" w:rsidR="009C4AF1" w:rsidRPr="009C4AF1" w:rsidRDefault="009C4AF1" w:rsidP="009C4AF1">
            <w:pPr>
              <w:rPr>
                <w:rFonts w:ascii="Times New Roman" w:hAnsi="Times New Roman" w:cs="Times New Roman"/>
                <w:b/>
                <w:bCs/>
              </w:rPr>
            </w:pPr>
            <w:r w:rsidRPr="009C4AF1">
              <w:rPr>
                <w:rStyle w:val="af0"/>
                <w:rFonts w:ascii="Times New Roman" w:hAnsi="Times New Roman" w:cs="Times New Roman"/>
              </w:rPr>
              <w:t>Response</w:t>
            </w:r>
          </w:p>
        </w:tc>
      </w:tr>
      <w:tr w:rsidR="00020ABB" w:rsidRPr="00C57089" w14:paraId="1FF1B3BB" w14:textId="77777777" w:rsidTr="00E96E7F">
        <w:trPr>
          <w:trHeight w:val="1358"/>
        </w:trPr>
        <w:tc>
          <w:tcPr>
            <w:tcW w:w="2754" w:type="dxa"/>
            <w:vMerge w:val="restart"/>
          </w:tcPr>
          <w:p w14:paraId="61727E01" w14:textId="27F2A832" w:rsidR="00020ABB" w:rsidRPr="004A4A83" w:rsidRDefault="004A4A83" w:rsidP="00E96E7F">
            <w:pPr>
              <w:rPr>
                <w:rFonts w:ascii="Times New Roman" w:hAnsi="Times New Roman" w:cs="Times New Roman"/>
              </w:rPr>
            </w:pPr>
            <w:r w:rsidRPr="004A4A83"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r w:rsidRPr="004A4A83">
              <w:rPr>
                <w:rFonts w:ascii="Times New Roman" w:hAnsi="Times New Roman" w:cs="Times New Roman"/>
              </w:rPr>
              <w:t>Independence and Conflict of Interest</w:t>
            </w:r>
          </w:p>
        </w:tc>
        <w:tc>
          <w:tcPr>
            <w:tcW w:w="3405" w:type="dxa"/>
          </w:tcPr>
          <w:p w14:paraId="0058D544" w14:textId="47667A77" w:rsidR="00020ABB" w:rsidRPr="00C57089" w:rsidRDefault="00C57089" w:rsidP="00E96E7F">
            <w:pPr>
              <w:rPr>
                <w:rFonts w:ascii="Times New Roman" w:hAnsi="Times New Roman" w:cs="Times New Roman"/>
              </w:rPr>
            </w:pPr>
            <w:r w:rsidRPr="00C57089">
              <w:rPr>
                <w:rFonts w:ascii="Times New Roman" w:hAnsi="Times New Roman" w:cs="Times New Roman"/>
              </w:rPr>
              <w:t>Confirmation of no involvement in the design and/or construction of the facility (CoI).</w:t>
            </w:r>
          </w:p>
        </w:tc>
        <w:tc>
          <w:tcPr>
            <w:tcW w:w="3399" w:type="dxa"/>
          </w:tcPr>
          <w:p w14:paraId="6AFA5091" w14:textId="77777777" w:rsidR="00020ABB" w:rsidRPr="00C57089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C57089" w14:paraId="5B13A94D" w14:textId="77777777" w:rsidTr="00E96E7F">
        <w:tc>
          <w:tcPr>
            <w:tcW w:w="2754" w:type="dxa"/>
            <w:vMerge/>
          </w:tcPr>
          <w:p w14:paraId="1688C1C3" w14:textId="77777777" w:rsidR="00020ABB" w:rsidRPr="00C57089" w:rsidRDefault="00020ABB" w:rsidP="00E96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177E0B7E" w14:textId="7C4FD7B7" w:rsidR="00020ABB" w:rsidRPr="00C57089" w:rsidRDefault="00C57089" w:rsidP="00E96E7F">
            <w:pPr>
              <w:rPr>
                <w:rFonts w:ascii="Times New Roman" w:hAnsi="Times New Roman" w:cs="Times New Roman"/>
              </w:rPr>
            </w:pPr>
            <w:r w:rsidRPr="00C57089">
              <w:rPr>
                <w:rFonts w:ascii="Times New Roman" w:hAnsi="Times New Roman" w:cs="Times New Roman"/>
              </w:rPr>
              <w:t>Willingness to sign a Declaration of Independence covering the full IRB</w:t>
            </w:r>
            <w:r w:rsidRPr="00C57089">
              <w:rPr>
                <w:rFonts w:ascii="Times New Roman" w:hAnsi="Times New Roman" w:cs="Times New Roman"/>
              </w:rPr>
              <w:noBreakHyphen/>
              <w:t>5 team.</w:t>
            </w:r>
          </w:p>
        </w:tc>
        <w:tc>
          <w:tcPr>
            <w:tcW w:w="3399" w:type="dxa"/>
          </w:tcPr>
          <w:p w14:paraId="598B9659" w14:textId="77777777" w:rsidR="00020ABB" w:rsidRPr="00C57089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E9180B" w14:paraId="332285A3" w14:textId="77777777" w:rsidTr="00E96E7F">
        <w:tc>
          <w:tcPr>
            <w:tcW w:w="2754" w:type="dxa"/>
            <w:vMerge w:val="restart"/>
          </w:tcPr>
          <w:p w14:paraId="050F0245" w14:textId="77777777" w:rsidR="00C57089" w:rsidRPr="00C57089" w:rsidRDefault="00C57089" w:rsidP="00C57089">
            <w:pPr>
              <w:rPr>
                <w:rFonts w:ascii="Times New Roman" w:hAnsi="Times New Roman" w:cs="Times New Roman"/>
                <w:b/>
                <w:bCs/>
              </w:rPr>
            </w:pPr>
            <w:r w:rsidRPr="00C57089">
              <w:rPr>
                <w:rFonts w:ascii="Times New Roman" w:hAnsi="Times New Roman" w:cs="Times New Roman"/>
                <w:b/>
                <w:bCs/>
              </w:rPr>
              <w:t xml:space="preserve">B. </w:t>
            </w:r>
            <w:r w:rsidRPr="00C57089">
              <w:rPr>
                <w:rFonts w:ascii="Times New Roman" w:hAnsi="Times New Roman" w:cs="Times New Roman"/>
              </w:rPr>
              <w:t>IRB</w:t>
            </w:r>
            <w:r w:rsidRPr="00C57089">
              <w:rPr>
                <w:rFonts w:ascii="Times New Roman" w:hAnsi="Times New Roman" w:cs="Times New Roman"/>
              </w:rPr>
              <w:noBreakHyphen/>
              <w:t>5 Team and Competencies</w:t>
            </w:r>
          </w:p>
          <w:p w14:paraId="1C52C811" w14:textId="09CC7E1E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2ED1E687" w14:textId="2A29314A" w:rsidR="00020ABB" w:rsidRPr="00E9180B" w:rsidRDefault="00E9180B" w:rsidP="00E96E7F">
            <w:pPr>
              <w:rPr>
                <w:rFonts w:ascii="Times New Roman" w:hAnsi="Times New Roman" w:cs="Times New Roman"/>
              </w:rPr>
            </w:pPr>
            <w:r w:rsidRPr="00E9180B">
              <w:rPr>
                <w:rFonts w:ascii="Times New Roman" w:hAnsi="Times New Roman" w:cs="Times New Roman"/>
              </w:rPr>
              <w:t>IRB Chairperson: ≥ 20 years of experience; participation in IRB / ITRB.</w:t>
            </w:r>
          </w:p>
        </w:tc>
        <w:tc>
          <w:tcPr>
            <w:tcW w:w="3399" w:type="dxa"/>
          </w:tcPr>
          <w:p w14:paraId="4585A548" w14:textId="77777777" w:rsidR="00020ABB" w:rsidRPr="00E9180B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E9180B" w14:paraId="0216153E" w14:textId="77777777" w:rsidTr="00E96E7F">
        <w:tc>
          <w:tcPr>
            <w:tcW w:w="2754" w:type="dxa"/>
            <w:vMerge/>
          </w:tcPr>
          <w:p w14:paraId="4E6D86D2" w14:textId="77777777" w:rsidR="00020ABB" w:rsidRPr="00E9180B" w:rsidRDefault="00020ABB" w:rsidP="00E96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5ADA0080" w14:textId="2977B2C2" w:rsidR="00020ABB" w:rsidRPr="00E9180B" w:rsidRDefault="00E9180B" w:rsidP="00E96E7F">
            <w:pPr>
              <w:rPr>
                <w:rFonts w:ascii="Times New Roman" w:hAnsi="Times New Roman" w:cs="Times New Roman"/>
              </w:rPr>
            </w:pPr>
            <w:r w:rsidRPr="00E9180B">
              <w:rPr>
                <w:rFonts w:ascii="Times New Roman" w:hAnsi="Times New Roman" w:cs="Times New Roman"/>
              </w:rPr>
              <w:t>Geotechnical Engineer: experience in TSF stability (static / pseudo‑static / dynamic), seepage and drainage.</w:t>
            </w:r>
          </w:p>
        </w:tc>
        <w:tc>
          <w:tcPr>
            <w:tcW w:w="3399" w:type="dxa"/>
          </w:tcPr>
          <w:p w14:paraId="78522303" w14:textId="77777777" w:rsidR="00020ABB" w:rsidRPr="00E9180B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AE12B8" w14:paraId="79CFB4F1" w14:textId="77777777" w:rsidTr="00E96E7F">
        <w:tc>
          <w:tcPr>
            <w:tcW w:w="2754" w:type="dxa"/>
            <w:vMerge/>
          </w:tcPr>
          <w:p w14:paraId="24399569" w14:textId="77777777" w:rsidR="00020ABB" w:rsidRPr="00E9180B" w:rsidRDefault="00020ABB" w:rsidP="00E96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5025A53A" w14:textId="0BDD435F" w:rsidR="00020ABB" w:rsidRPr="00AE12B8" w:rsidRDefault="00AE12B8" w:rsidP="00E96E7F">
            <w:pPr>
              <w:rPr>
                <w:rFonts w:ascii="Times New Roman" w:hAnsi="Times New Roman" w:cs="Times New Roman"/>
              </w:rPr>
            </w:pPr>
            <w:r w:rsidRPr="00AE12B8">
              <w:rPr>
                <w:rFonts w:ascii="Times New Roman" w:hAnsi="Times New Roman" w:cs="Times New Roman"/>
              </w:rPr>
              <w:t>Seismologist: experience in PSHA / DSHA, DBE / MCE criteria.</w:t>
            </w:r>
          </w:p>
        </w:tc>
        <w:tc>
          <w:tcPr>
            <w:tcW w:w="3399" w:type="dxa"/>
          </w:tcPr>
          <w:p w14:paraId="4F4088DF" w14:textId="77777777" w:rsidR="00020ABB" w:rsidRPr="00AE12B8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780470" w14:paraId="4213D24F" w14:textId="77777777" w:rsidTr="00E96E7F">
        <w:tc>
          <w:tcPr>
            <w:tcW w:w="2754" w:type="dxa"/>
            <w:vMerge/>
          </w:tcPr>
          <w:p w14:paraId="305D6AE7" w14:textId="77777777" w:rsidR="00020ABB" w:rsidRPr="00AE12B8" w:rsidRDefault="00020ABB" w:rsidP="00E96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0ADAE262" w14:textId="7C97626D" w:rsidR="00020ABB" w:rsidRPr="00780470" w:rsidRDefault="00780470" w:rsidP="00E96E7F">
            <w:pPr>
              <w:rPr>
                <w:rFonts w:ascii="Times New Roman" w:hAnsi="Times New Roman" w:cs="Times New Roman"/>
              </w:rPr>
            </w:pPr>
            <w:r w:rsidRPr="00780470">
              <w:rPr>
                <w:rFonts w:ascii="Times New Roman" w:hAnsi="Times New Roman" w:cs="Times New Roman"/>
              </w:rPr>
              <w:t>Hydraulic / Hydrology Expert: water balance, PMP / PMF, spillway and conveyance capacity.</w:t>
            </w:r>
          </w:p>
        </w:tc>
        <w:tc>
          <w:tcPr>
            <w:tcW w:w="3399" w:type="dxa"/>
          </w:tcPr>
          <w:p w14:paraId="0A2B8180" w14:textId="77777777" w:rsidR="00020ABB" w:rsidRPr="00780470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780470" w14:paraId="7EA2DBFF" w14:textId="77777777" w:rsidTr="00E96E7F">
        <w:tc>
          <w:tcPr>
            <w:tcW w:w="2754" w:type="dxa"/>
            <w:vMerge/>
          </w:tcPr>
          <w:p w14:paraId="0D77ED21" w14:textId="77777777" w:rsidR="00020ABB" w:rsidRPr="00780470" w:rsidRDefault="00020ABB" w:rsidP="00E96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4CD0C8F4" w14:textId="00C4C202" w:rsidR="00020ABB" w:rsidRPr="005C4EA9" w:rsidRDefault="00780470" w:rsidP="00E96E7F">
            <w:pPr>
              <w:rPr>
                <w:rFonts w:ascii="Times New Roman" w:hAnsi="Times New Roman" w:cs="Times New Roman"/>
              </w:rPr>
            </w:pPr>
            <w:r w:rsidRPr="00780470">
              <w:rPr>
                <w:rFonts w:ascii="Times New Roman" w:hAnsi="Times New Roman" w:cs="Times New Roman"/>
              </w:rPr>
              <w:t>Monitoring / Instrumentation (I&amp;C): piezometer and inclinometer networks, Early Warning Systems (EWS), TARP.</w:t>
            </w:r>
          </w:p>
        </w:tc>
        <w:tc>
          <w:tcPr>
            <w:tcW w:w="3399" w:type="dxa"/>
          </w:tcPr>
          <w:p w14:paraId="00BA1ACD" w14:textId="77777777" w:rsidR="00020ABB" w:rsidRPr="00780470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347E1AA7" w14:textId="77777777" w:rsidTr="002E2F3B">
        <w:tc>
          <w:tcPr>
            <w:tcW w:w="2754" w:type="dxa"/>
            <w:vMerge w:val="restart"/>
            <w:vAlign w:val="center"/>
          </w:tcPr>
          <w:p w14:paraId="00CBCD55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C. Compliance with GISTM / ICMM</w:t>
            </w:r>
          </w:p>
          <w:p w14:paraId="48DEC850" w14:textId="67213A70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25B7820D" w14:textId="5873A22B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Experience in preparation of a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GISTM Compliance Matrix</w:t>
            </w:r>
            <w:r w:rsidRPr="00893CB6">
              <w:rPr>
                <w:rFonts w:ascii="Times New Roman" w:hAnsi="Times New Roman" w:cs="Times New Roman"/>
              </w:rPr>
              <w:t xml:space="preserve"> (15/77 requirements).</w:t>
            </w:r>
          </w:p>
        </w:tc>
        <w:tc>
          <w:tcPr>
            <w:tcW w:w="3399" w:type="dxa"/>
          </w:tcPr>
          <w:p w14:paraId="0C04F029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2544A34B" w14:textId="77777777" w:rsidTr="002E2F3B">
        <w:tc>
          <w:tcPr>
            <w:tcW w:w="2754" w:type="dxa"/>
            <w:vMerge/>
            <w:vAlign w:val="center"/>
          </w:tcPr>
          <w:p w14:paraId="64D156A0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4DF52FC9" w14:textId="42D0DFAE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Examples of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CAPA plans</w:t>
            </w:r>
            <w:r w:rsidRPr="00893CB6">
              <w:rPr>
                <w:rFonts w:ascii="Times New Roman" w:hAnsi="Times New Roman" w:cs="Times New Roman"/>
              </w:rPr>
              <w:t xml:space="preserve"> developed following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IRB / ITRB</w:t>
            </w:r>
            <w:r w:rsidRPr="00893CB6">
              <w:rPr>
                <w:rFonts w:ascii="Times New Roman" w:hAnsi="Times New Roman" w:cs="Times New Roman"/>
              </w:rPr>
              <w:t xml:space="preserve"> reviews.</w:t>
            </w:r>
          </w:p>
        </w:tc>
        <w:tc>
          <w:tcPr>
            <w:tcW w:w="3399" w:type="dxa"/>
          </w:tcPr>
          <w:p w14:paraId="52370EEE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814CB3" w14:paraId="6AF036D7" w14:textId="77777777" w:rsidTr="002E2F3B">
        <w:tc>
          <w:tcPr>
            <w:tcW w:w="2754" w:type="dxa"/>
            <w:vMerge/>
            <w:vAlign w:val="center"/>
          </w:tcPr>
          <w:p w14:paraId="55393E20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10112F37" w14:textId="4C54B53C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Experience in implementing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Governance / Assurance</w:t>
            </w:r>
            <w:r w:rsidRPr="00893CB6">
              <w:rPr>
                <w:rStyle w:val="af0"/>
                <w:rFonts w:ascii="Times New Roman" w:hAnsi="Times New Roman" w:cs="Times New Roman"/>
              </w:rPr>
              <w:t xml:space="preserve">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lastRenderedPageBreak/>
              <w:t>frameworks</w:t>
            </w:r>
            <w:r w:rsidRPr="00893CB6">
              <w:rPr>
                <w:rFonts w:ascii="Times New Roman" w:hAnsi="Times New Roman" w:cs="Times New Roman"/>
              </w:rPr>
              <w:t xml:space="preserve"> for a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Tailings Management System</w:t>
            </w:r>
            <w:r w:rsidRPr="00893CB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399" w:type="dxa"/>
          </w:tcPr>
          <w:p w14:paraId="7E4CFF6F" w14:textId="77777777" w:rsidR="005C4EA9" w:rsidRPr="00814CB3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154438B0" w14:textId="77777777" w:rsidTr="002E2F3B">
        <w:trPr>
          <w:trHeight w:val="360"/>
        </w:trPr>
        <w:tc>
          <w:tcPr>
            <w:tcW w:w="2754" w:type="dxa"/>
            <w:vMerge w:val="restart"/>
            <w:vAlign w:val="center"/>
          </w:tcPr>
          <w:p w14:paraId="6C8EDFC1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lastRenderedPageBreak/>
              <w:t>D. ICOLD / ANCOLD / CDA Standards</w:t>
            </w:r>
          </w:p>
          <w:p w14:paraId="1C74B724" w14:textId="09285D45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44A29C3F" w14:textId="5726DE3B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Which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ICOLD Bulletins</w:t>
            </w:r>
            <w:r w:rsidRPr="00893CB6">
              <w:rPr>
                <w:rFonts w:ascii="Times New Roman" w:hAnsi="Times New Roman" w:cs="Times New Roman"/>
              </w:rPr>
              <w:t xml:space="preserve"> are applied (e.g.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Bulletin 194</w:t>
            </w:r>
            <w:r w:rsidRPr="00893CB6">
              <w:rPr>
                <w:rFonts w:ascii="Times New Roman" w:hAnsi="Times New Roman" w:cs="Times New Roman"/>
              </w:rPr>
              <w:t>, etc.)?</w:t>
            </w:r>
          </w:p>
        </w:tc>
        <w:tc>
          <w:tcPr>
            <w:tcW w:w="3399" w:type="dxa"/>
          </w:tcPr>
          <w:p w14:paraId="2D50F142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814CB3" w14:paraId="0DC6C2E7" w14:textId="77777777" w:rsidTr="002E2F3B">
        <w:tc>
          <w:tcPr>
            <w:tcW w:w="2754" w:type="dxa"/>
            <w:vMerge/>
            <w:vAlign w:val="center"/>
          </w:tcPr>
          <w:p w14:paraId="753F64E4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1C0E7E6F" w14:textId="46B0B043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Experience applying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ANCOLD Tailings Guidelines</w:t>
            </w:r>
            <w:r w:rsidRPr="00893C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3CB6">
              <w:rPr>
                <w:rFonts w:ascii="Times New Roman" w:hAnsi="Times New Roman" w:cs="Times New Roman"/>
              </w:rPr>
              <w:t>(risk</w:t>
            </w:r>
            <w:r w:rsidRPr="00893CB6">
              <w:rPr>
                <w:rFonts w:ascii="Times New Roman" w:hAnsi="Times New Roman" w:cs="Times New Roman"/>
              </w:rPr>
              <w:noBreakHyphen/>
              <w:t>based approach).</w:t>
            </w:r>
          </w:p>
        </w:tc>
        <w:tc>
          <w:tcPr>
            <w:tcW w:w="3399" w:type="dxa"/>
          </w:tcPr>
          <w:p w14:paraId="731528AF" w14:textId="77777777" w:rsidR="005C4EA9" w:rsidRPr="00814CB3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814CB3" w14:paraId="05F4D21B" w14:textId="77777777" w:rsidTr="002E2F3B">
        <w:tc>
          <w:tcPr>
            <w:tcW w:w="2754" w:type="dxa"/>
            <w:vMerge/>
            <w:vAlign w:val="center"/>
          </w:tcPr>
          <w:p w14:paraId="1D2FDF2D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0919138" w14:textId="1D9B7B38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Experience with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CDA Dam Safety Guidelines</w:t>
            </w:r>
            <w:r w:rsidRPr="00893CB6">
              <w:rPr>
                <w:rFonts w:ascii="Times New Roman" w:hAnsi="Times New Roman" w:cs="Times New Roman"/>
                <w:b/>
                <w:bCs/>
              </w:rPr>
              <w:t>,</w:t>
            </w:r>
            <w:r w:rsidRPr="00893CB6">
              <w:rPr>
                <w:rFonts w:ascii="Times New Roman" w:hAnsi="Times New Roman" w:cs="Times New Roman"/>
              </w:rPr>
              <w:t xml:space="preserve"> including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breach analysis best practices</w:t>
            </w:r>
            <w:r w:rsidRPr="00893CB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399" w:type="dxa"/>
          </w:tcPr>
          <w:p w14:paraId="7B7D034E" w14:textId="77777777" w:rsidR="005C4EA9" w:rsidRPr="00814CB3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814CB3" w14:paraId="464A5B64" w14:textId="77777777" w:rsidTr="002E2F3B">
        <w:tc>
          <w:tcPr>
            <w:tcW w:w="2754" w:type="dxa"/>
            <w:vMerge w:val="restart"/>
            <w:vAlign w:val="center"/>
          </w:tcPr>
          <w:p w14:paraId="7EE7E1D9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E. Review Methodology</w:t>
            </w:r>
          </w:p>
          <w:p w14:paraId="1C2D1892" w14:textId="3DF86FDA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09146CD0" w14:textId="14EC07EB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Approach to review of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Design Basis</w:t>
            </w:r>
            <w:r w:rsidRPr="00893CB6">
              <w:rPr>
                <w:rFonts w:ascii="Times New Roman" w:hAnsi="Times New Roman" w:cs="Times New Roman"/>
              </w:rPr>
              <w:t xml:space="preserve"> and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Assumptions Register</w:t>
            </w:r>
            <w:r w:rsidRPr="00893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9" w:type="dxa"/>
          </w:tcPr>
          <w:p w14:paraId="6F9F1DE2" w14:textId="77777777" w:rsidR="005C4EA9" w:rsidRPr="00814CB3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357D43B5" w14:textId="77777777" w:rsidTr="002E2F3B">
        <w:tc>
          <w:tcPr>
            <w:tcW w:w="2754" w:type="dxa"/>
            <w:vMerge/>
            <w:vAlign w:val="center"/>
          </w:tcPr>
          <w:p w14:paraId="2DA0E192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0FFA7A81" w14:textId="6E1B00B1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Verification of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reproducibility of analyses</w:t>
            </w:r>
            <w:r w:rsidRPr="00893C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3CB6">
              <w:rPr>
                <w:rFonts w:ascii="Times New Roman" w:hAnsi="Times New Roman" w:cs="Times New Roman"/>
              </w:rPr>
              <w:t>(stability, seepage, water balance, seismic).</w:t>
            </w:r>
          </w:p>
        </w:tc>
        <w:tc>
          <w:tcPr>
            <w:tcW w:w="3399" w:type="dxa"/>
          </w:tcPr>
          <w:p w14:paraId="173A5FE3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246AD2A0" w14:textId="77777777" w:rsidTr="002E2F3B">
        <w:tc>
          <w:tcPr>
            <w:tcW w:w="2754" w:type="dxa"/>
            <w:vMerge/>
            <w:vAlign w:val="center"/>
          </w:tcPr>
          <w:p w14:paraId="219B5218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EA9264D" w14:textId="33BBEC4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Breach analysis methodology</w:t>
            </w:r>
            <w:r w:rsidRPr="00893CB6">
              <w:rPr>
                <w:rFonts w:ascii="Times New Roman" w:hAnsi="Times New Roman" w:cs="Times New Roman"/>
              </w:rPr>
              <w:t>: scenarios, sensitivity analyses, data verification.</w:t>
            </w:r>
          </w:p>
        </w:tc>
        <w:tc>
          <w:tcPr>
            <w:tcW w:w="3399" w:type="dxa"/>
          </w:tcPr>
          <w:p w14:paraId="1A2F5209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0AC63457" w14:textId="77777777" w:rsidTr="002E2F3B">
        <w:tc>
          <w:tcPr>
            <w:tcW w:w="2754" w:type="dxa"/>
            <w:vMerge w:val="restart"/>
            <w:vAlign w:val="center"/>
          </w:tcPr>
          <w:p w14:paraId="57C9C300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F. Logistics</w:t>
            </w:r>
          </w:p>
          <w:p w14:paraId="311F162C" w14:textId="42447859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10A26BDB" w14:textId="00E091C2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Readiness for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Site Visits</w:t>
            </w:r>
            <w:r w:rsidRPr="00893CB6">
              <w:rPr>
                <w:rFonts w:ascii="Times New Roman" w:hAnsi="Times New Roman" w:cs="Times New Roman"/>
              </w:rPr>
              <w:t xml:space="preserve"> (timing, equipment).</w:t>
            </w:r>
          </w:p>
        </w:tc>
        <w:tc>
          <w:tcPr>
            <w:tcW w:w="3399" w:type="dxa"/>
          </w:tcPr>
          <w:p w14:paraId="42106A2E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07E45B69" w14:textId="77777777" w:rsidTr="002E2F3B">
        <w:tc>
          <w:tcPr>
            <w:tcW w:w="2754" w:type="dxa"/>
            <w:vMerge/>
            <w:vAlign w:val="center"/>
          </w:tcPr>
          <w:p w14:paraId="70D2A7F9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C82E867" w14:textId="399C752E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Reporting timelines</w:t>
            </w:r>
            <w:r w:rsidRPr="00893CB6">
              <w:rPr>
                <w:rFonts w:ascii="Times New Roman" w:hAnsi="Times New Roman" w:cs="Times New Roman"/>
              </w:rPr>
              <w:t xml:space="preserve"> and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format of deliverables</w:t>
            </w:r>
            <w:r w:rsidRPr="00893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9" w:type="dxa"/>
          </w:tcPr>
          <w:p w14:paraId="251A9574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  <w:tr w:rsidR="005C4EA9" w:rsidRPr="005C4EA9" w14:paraId="0CDB89DF" w14:textId="77777777" w:rsidTr="002E2F3B">
        <w:tc>
          <w:tcPr>
            <w:tcW w:w="2754" w:type="dxa"/>
            <w:vMerge/>
            <w:vAlign w:val="center"/>
          </w:tcPr>
          <w:p w14:paraId="5E937D92" w14:textId="77777777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B452D3E" w14:textId="665F310D" w:rsidR="005C4EA9" w:rsidRPr="00893CB6" w:rsidRDefault="005C4EA9" w:rsidP="005C4EA9">
            <w:pPr>
              <w:rPr>
                <w:rFonts w:ascii="Times New Roman" w:hAnsi="Times New Roman" w:cs="Times New Roman"/>
              </w:rPr>
            </w:pPr>
            <w:r w:rsidRPr="00893CB6">
              <w:rPr>
                <w:rFonts w:ascii="Times New Roman" w:hAnsi="Times New Roman" w:cs="Times New Roman"/>
              </w:rPr>
              <w:t xml:space="preserve">Availability of </w:t>
            </w:r>
            <w:r w:rsidRPr="00893CB6">
              <w:rPr>
                <w:rStyle w:val="af0"/>
                <w:rFonts w:ascii="Times New Roman" w:hAnsi="Times New Roman" w:cs="Times New Roman"/>
                <w:b w:val="0"/>
                <w:bCs w:val="0"/>
              </w:rPr>
              <w:t>language support (EN / RU)</w:t>
            </w:r>
            <w:r w:rsidRPr="00893CB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399" w:type="dxa"/>
          </w:tcPr>
          <w:p w14:paraId="07E59040" w14:textId="77777777" w:rsidR="005C4EA9" w:rsidRPr="005C4EA9" w:rsidRDefault="005C4EA9" w:rsidP="005C4EA9">
            <w:pPr>
              <w:rPr>
                <w:rFonts w:ascii="Times New Roman" w:hAnsi="Times New Roman" w:cs="Times New Roman"/>
              </w:rPr>
            </w:pPr>
          </w:p>
        </w:tc>
      </w:tr>
    </w:tbl>
    <w:p w14:paraId="5F2EB200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5D941913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3B13F50D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082F2354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0C11B670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2EEC929C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4257AAD4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3C78C266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p w14:paraId="0015B817" w14:textId="77777777" w:rsidR="00020ABB" w:rsidRPr="005C4EA9" w:rsidRDefault="00020ABB" w:rsidP="005520D9">
      <w:pPr>
        <w:rPr>
          <w:rFonts w:ascii="Times New Roman" w:hAnsi="Times New Roman" w:cs="Times New Roman"/>
        </w:rPr>
      </w:pPr>
    </w:p>
    <w:sectPr w:rsidR="00020ABB" w:rsidRPr="005C4EA9" w:rsidSect="005520D9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D4E5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FFADF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B44EF1"/>
    <w:multiLevelType w:val="hybridMultilevel"/>
    <w:tmpl w:val="908E037A"/>
    <w:lvl w:ilvl="0" w:tplc="9CD65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03348"/>
    <w:multiLevelType w:val="hybridMultilevel"/>
    <w:tmpl w:val="2EC6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DC"/>
    <w:multiLevelType w:val="hybridMultilevel"/>
    <w:tmpl w:val="994A49AE"/>
    <w:lvl w:ilvl="0" w:tplc="74F68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B58"/>
    <w:multiLevelType w:val="hybridMultilevel"/>
    <w:tmpl w:val="AA2C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E49E9"/>
    <w:multiLevelType w:val="hybridMultilevel"/>
    <w:tmpl w:val="51C2E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02D6D"/>
    <w:rsid w:val="00012334"/>
    <w:rsid w:val="000167C4"/>
    <w:rsid w:val="00020ABB"/>
    <w:rsid w:val="0003795B"/>
    <w:rsid w:val="00050181"/>
    <w:rsid w:val="00063652"/>
    <w:rsid w:val="000843BD"/>
    <w:rsid w:val="000A7BD3"/>
    <w:rsid w:val="000E4E02"/>
    <w:rsid w:val="000F4D6F"/>
    <w:rsid w:val="00102F06"/>
    <w:rsid w:val="001033E7"/>
    <w:rsid w:val="00114A80"/>
    <w:rsid w:val="00117802"/>
    <w:rsid w:val="0012246A"/>
    <w:rsid w:val="001356CC"/>
    <w:rsid w:val="0016600D"/>
    <w:rsid w:val="00197962"/>
    <w:rsid w:val="001A1193"/>
    <w:rsid w:val="001A4773"/>
    <w:rsid w:val="001A78C4"/>
    <w:rsid w:val="001B656E"/>
    <w:rsid w:val="001F1833"/>
    <w:rsid w:val="00224777"/>
    <w:rsid w:val="0024029C"/>
    <w:rsid w:val="0025043A"/>
    <w:rsid w:val="002542CB"/>
    <w:rsid w:val="00265010"/>
    <w:rsid w:val="00294659"/>
    <w:rsid w:val="002A3730"/>
    <w:rsid w:val="002A4EBD"/>
    <w:rsid w:val="002B0FC7"/>
    <w:rsid w:val="002C0D0B"/>
    <w:rsid w:val="002D35BA"/>
    <w:rsid w:val="002F0920"/>
    <w:rsid w:val="00333AC9"/>
    <w:rsid w:val="00346F0A"/>
    <w:rsid w:val="00354CB5"/>
    <w:rsid w:val="00362DE0"/>
    <w:rsid w:val="00374C82"/>
    <w:rsid w:val="0037760A"/>
    <w:rsid w:val="00382135"/>
    <w:rsid w:val="003A2902"/>
    <w:rsid w:val="003A5FF2"/>
    <w:rsid w:val="003A7B57"/>
    <w:rsid w:val="003B3093"/>
    <w:rsid w:val="003C5BB7"/>
    <w:rsid w:val="003F4F60"/>
    <w:rsid w:val="0041483E"/>
    <w:rsid w:val="004502AF"/>
    <w:rsid w:val="00453792"/>
    <w:rsid w:val="00471D36"/>
    <w:rsid w:val="00486FB5"/>
    <w:rsid w:val="00487628"/>
    <w:rsid w:val="004A4A83"/>
    <w:rsid w:val="004B7531"/>
    <w:rsid w:val="004C72FE"/>
    <w:rsid w:val="004E6C30"/>
    <w:rsid w:val="004F052B"/>
    <w:rsid w:val="00502E14"/>
    <w:rsid w:val="005048C2"/>
    <w:rsid w:val="00527247"/>
    <w:rsid w:val="00532B4F"/>
    <w:rsid w:val="005346A8"/>
    <w:rsid w:val="00543E75"/>
    <w:rsid w:val="005520D9"/>
    <w:rsid w:val="00572B28"/>
    <w:rsid w:val="0058391F"/>
    <w:rsid w:val="00592EDA"/>
    <w:rsid w:val="0059485A"/>
    <w:rsid w:val="005C4C32"/>
    <w:rsid w:val="005C4EA9"/>
    <w:rsid w:val="005C560F"/>
    <w:rsid w:val="005C7127"/>
    <w:rsid w:val="005D017E"/>
    <w:rsid w:val="005E200D"/>
    <w:rsid w:val="0060039E"/>
    <w:rsid w:val="00600B78"/>
    <w:rsid w:val="00621E3E"/>
    <w:rsid w:val="006458DC"/>
    <w:rsid w:val="00661EFD"/>
    <w:rsid w:val="00664F28"/>
    <w:rsid w:val="00673396"/>
    <w:rsid w:val="00685C7F"/>
    <w:rsid w:val="006908F0"/>
    <w:rsid w:val="006B13E0"/>
    <w:rsid w:val="006B5D8B"/>
    <w:rsid w:val="007067DC"/>
    <w:rsid w:val="0071696A"/>
    <w:rsid w:val="00717214"/>
    <w:rsid w:val="00717730"/>
    <w:rsid w:val="00722F8F"/>
    <w:rsid w:val="007277B6"/>
    <w:rsid w:val="00736A48"/>
    <w:rsid w:val="00743D0F"/>
    <w:rsid w:val="007457B7"/>
    <w:rsid w:val="007553CF"/>
    <w:rsid w:val="007565F3"/>
    <w:rsid w:val="00760897"/>
    <w:rsid w:val="00780470"/>
    <w:rsid w:val="007901BA"/>
    <w:rsid w:val="0079394E"/>
    <w:rsid w:val="007C1F30"/>
    <w:rsid w:val="007E055F"/>
    <w:rsid w:val="007E45C1"/>
    <w:rsid w:val="007F0093"/>
    <w:rsid w:val="007F03E4"/>
    <w:rsid w:val="00812D27"/>
    <w:rsid w:val="00813C48"/>
    <w:rsid w:val="008236A7"/>
    <w:rsid w:val="00845D99"/>
    <w:rsid w:val="00846B90"/>
    <w:rsid w:val="008737CF"/>
    <w:rsid w:val="00886E57"/>
    <w:rsid w:val="00893CB6"/>
    <w:rsid w:val="008A5B88"/>
    <w:rsid w:val="00900E47"/>
    <w:rsid w:val="009211EB"/>
    <w:rsid w:val="0092141D"/>
    <w:rsid w:val="0092556C"/>
    <w:rsid w:val="0097549E"/>
    <w:rsid w:val="00977A0A"/>
    <w:rsid w:val="00983DDC"/>
    <w:rsid w:val="00994F16"/>
    <w:rsid w:val="009C0B03"/>
    <w:rsid w:val="009C4AF1"/>
    <w:rsid w:val="00A21E94"/>
    <w:rsid w:val="00A225CA"/>
    <w:rsid w:val="00A328C9"/>
    <w:rsid w:val="00A33C91"/>
    <w:rsid w:val="00A33F8B"/>
    <w:rsid w:val="00A62A8B"/>
    <w:rsid w:val="00A64C25"/>
    <w:rsid w:val="00A6744E"/>
    <w:rsid w:val="00A847B9"/>
    <w:rsid w:val="00A9479E"/>
    <w:rsid w:val="00A95816"/>
    <w:rsid w:val="00AA25D9"/>
    <w:rsid w:val="00AB04CD"/>
    <w:rsid w:val="00AE12B8"/>
    <w:rsid w:val="00AF74FC"/>
    <w:rsid w:val="00B02A04"/>
    <w:rsid w:val="00B11050"/>
    <w:rsid w:val="00B218A7"/>
    <w:rsid w:val="00B32EFB"/>
    <w:rsid w:val="00B437C7"/>
    <w:rsid w:val="00B52053"/>
    <w:rsid w:val="00B61382"/>
    <w:rsid w:val="00B76FC2"/>
    <w:rsid w:val="00B905AB"/>
    <w:rsid w:val="00BF5C0E"/>
    <w:rsid w:val="00C02867"/>
    <w:rsid w:val="00C22EC4"/>
    <w:rsid w:val="00C2613D"/>
    <w:rsid w:val="00C40440"/>
    <w:rsid w:val="00C45C87"/>
    <w:rsid w:val="00C57089"/>
    <w:rsid w:val="00C601EF"/>
    <w:rsid w:val="00CA1E06"/>
    <w:rsid w:val="00CA4B3E"/>
    <w:rsid w:val="00CC61C4"/>
    <w:rsid w:val="00CD0015"/>
    <w:rsid w:val="00CD45DF"/>
    <w:rsid w:val="00D02D0F"/>
    <w:rsid w:val="00D27C98"/>
    <w:rsid w:val="00D41B83"/>
    <w:rsid w:val="00D43BB1"/>
    <w:rsid w:val="00D51A5D"/>
    <w:rsid w:val="00D715E3"/>
    <w:rsid w:val="00D74923"/>
    <w:rsid w:val="00DA552D"/>
    <w:rsid w:val="00DB021A"/>
    <w:rsid w:val="00DB5878"/>
    <w:rsid w:val="00DC735D"/>
    <w:rsid w:val="00DD4F4C"/>
    <w:rsid w:val="00E44D78"/>
    <w:rsid w:val="00E46A9D"/>
    <w:rsid w:val="00E57317"/>
    <w:rsid w:val="00E60886"/>
    <w:rsid w:val="00E767A4"/>
    <w:rsid w:val="00E867E8"/>
    <w:rsid w:val="00E8764A"/>
    <w:rsid w:val="00E9180B"/>
    <w:rsid w:val="00EB0DF0"/>
    <w:rsid w:val="00ED4F78"/>
    <w:rsid w:val="00EE6434"/>
    <w:rsid w:val="00EF67FD"/>
    <w:rsid w:val="00F038F2"/>
    <w:rsid w:val="00F06A90"/>
    <w:rsid w:val="00F165BA"/>
    <w:rsid w:val="00F263DA"/>
    <w:rsid w:val="00F270EF"/>
    <w:rsid w:val="00F36C82"/>
    <w:rsid w:val="00F41A13"/>
    <w:rsid w:val="00F56218"/>
    <w:rsid w:val="00F654C3"/>
    <w:rsid w:val="00F82B82"/>
    <w:rsid w:val="00F85606"/>
    <w:rsid w:val="00F91292"/>
    <w:rsid w:val="00FA76F5"/>
    <w:rsid w:val="00FC754C"/>
    <w:rsid w:val="00FC7F51"/>
    <w:rsid w:val="00FD3FF0"/>
    <w:rsid w:val="00FD797A"/>
    <w:rsid w:val="00FE70C6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0F4D6F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0F4D6F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0F4D6F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0F4D6F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F4D6F"/>
    <w:rPr>
      <w:color w:val="605E5C"/>
      <w:shd w:val="clear" w:color="auto" w:fill="E1DFDD"/>
    </w:rPr>
  </w:style>
  <w:style w:type="paragraph" w:styleId="a0">
    <w:name w:val="List Bullet"/>
    <w:basedOn w:val="a1"/>
    <w:uiPriority w:val="99"/>
    <w:unhideWhenUsed/>
    <w:rsid w:val="00020ABB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a">
    <w:name w:val="List Number"/>
    <w:basedOn w:val="a1"/>
    <w:uiPriority w:val="99"/>
    <w:unhideWhenUsed/>
    <w:rsid w:val="00020ABB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table" w:styleId="af">
    <w:name w:val="Table Grid"/>
    <w:basedOn w:val="a3"/>
    <w:uiPriority w:val="59"/>
    <w:rsid w:val="00020AB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2"/>
    <w:uiPriority w:val="22"/>
    <w:qFormat/>
    <w:rsid w:val="00265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119</cp:revision>
  <dcterms:created xsi:type="dcterms:W3CDTF">2026-04-06T09:39:00Z</dcterms:created>
  <dcterms:modified xsi:type="dcterms:W3CDTF">2026-04-07T10:31:00Z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