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w:t>
      </w:r>
      <w:r w:rsidRPr="0016353C">
        <w:rPr>
          <w:rFonts w:ascii="Times New Roman" w:hAnsi="Times New Roman" w:cs="Times New Roman"/>
          <w:lang w:val="ru-RU"/>
        </w:rPr>
        <w:lastRenderedPageBreak/>
        <w:t xml:space="preserve">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исключения или изменения любого первоначально указа</w:t>
      </w:r>
      <w:r w:rsidRPr="0016353C">
        <w:rPr>
          <w:rFonts w:ascii="Times New Roman" w:hAnsi="Times New Roman" w:cs="Times New Roman"/>
          <w:lang w:val="ru-RU"/>
        </w:rPr>
        <w:lastRenderedPageBreak/>
        <w:t xml:space="preserve">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w:t>
      </w:r>
      <w:r w:rsidRPr="0016353C">
        <w:rPr>
          <w:rFonts w:ascii="Times New Roman" w:hAnsi="Times New Roman" w:cs="Times New Roman"/>
          <w:lang w:val="ru-RU"/>
        </w:rPr>
        <w:lastRenderedPageBreak/>
        <w:t xml:space="preserve">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444EEE"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444EEE"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444EEE"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444EEE"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663118"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bookmarkEnd w:id="0"/>
    <w:p w14:paraId="50EBDC4A"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Техническое задание</w:t>
      </w:r>
    </w:p>
    <w:p w14:paraId="036EEE42"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 xml:space="preserve">на выполнение оценки сейсмической устойчивости грунтовой дамбы хвостохранилища </w:t>
      </w:r>
    </w:p>
    <w:p w14:paraId="51B7189E"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ЗИФ рудника «Кумтор»</w:t>
      </w:r>
    </w:p>
    <w:p w14:paraId="200462AA" w14:textId="77777777" w:rsidR="00872A12" w:rsidRPr="005A3C2A" w:rsidRDefault="00872A12" w:rsidP="005D72CC">
      <w:pPr>
        <w:spacing w:after="0"/>
        <w:jc w:val="center"/>
        <w:rPr>
          <w:rFonts w:ascii="Times New Roman" w:hAnsi="Times New Roman" w:cs="Times New Roman"/>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872A12" w:rsidRPr="00663118" w14:paraId="78920FFD" w14:textId="77777777" w:rsidTr="005D72CC">
        <w:trPr>
          <w:trHeight w:val="1322"/>
        </w:trPr>
        <w:tc>
          <w:tcPr>
            <w:tcW w:w="534" w:type="dxa"/>
          </w:tcPr>
          <w:p w14:paraId="6349CD3A"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п/п №</w:t>
            </w:r>
          </w:p>
        </w:tc>
        <w:tc>
          <w:tcPr>
            <w:tcW w:w="2551" w:type="dxa"/>
          </w:tcPr>
          <w:p w14:paraId="21531020"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Параметры требований закупаемых товаров, работ, услуг (предмет закупки)</w:t>
            </w:r>
          </w:p>
        </w:tc>
        <w:tc>
          <w:tcPr>
            <w:tcW w:w="6629" w:type="dxa"/>
            <w:vAlign w:val="center"/>
          </w:tcPr>
          <w:p w14:paraId="0A9E5E3D" w14:textId="77777777" w:rsidR="00872A12" w:rsidRPr="005A3C2A" w:rsidRDefault="00872A12" w:rsidP="005D72CC">
            <w:pPr>
              <w:spacing w:after="0" w:line="240" w:lineRule="auto"/>
              <w:jc w:val="center"/>
              <w:rPr>
                <w:rFonts w:ascii="Times New Roman" w:hAnsi="Times New Roman" w:cs="Times New Roman"/>
                <w:lang w:val="ru-RU"/>
              </w:rPr>
            </w:pPr>
            <w:r w:rsidRPr="005A3C2A">
              <w:rPr>
                <w:rFonts w:ascii="Times New Roman" w:hAnsi="Times New Roman" w:cs="Times New Roman"/>
                <w:lang w:val="ru-RU"/>
              </w:rPr>
              <w:t>Конкретные требования к товарам, работам, услугам</w:t>
            </w:r>
          </w:p>
        </w:tc>
      </w:tr>
      <w:tr w:rsidR="00872A12" w:rsidRPr="00663118" w14:paraId="60A57D11" w14:textId="77777777" w:rsidTr="000E24CF">
        <w:tc>
          <w:tcPr>
            <w:tcW w:w="534" w:type="dxa"/>
          </w:tcPr>
          <w:p w14:paraId="167C683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1</w:t>
            </w:r>
          </w:p>
        </w:tc>
        <w:tc>
          <w:tcPr>
            <w:tcW w:w="2551" w:type="dxa"/>
          </w:tcPr>
          <w:p w14:paraId="3DB6602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Наименование/вид количество /объемы единица измерения</w:t>
            </w:r>
          </w:p>
        </w:tc>
        <w:tc>
          <w:tcPr>
            <w:tcW w:w="6629" w:type="dxa"/>
          </w:tcPr>
          <w:p w14:paraId="18932956" w14:textId="77777777" w:rsidR="00872A12" w:rsidRPr="005A3C2A" w:rsidRDefault="00872A12" w:rsidP="005D72CC">
            <w:pPr>
              <w:spacing w:after="0" w:line="240" w:lineRule="auto"/>
              <w:rPr>
                <w:rFonts w:ascii="Times New Roman" w:hAnsi="Times New Roman" w:cs="Times New Roman"/>
                <w:lang w:val="ru-RU"/>
              </w:rPr>
            </w:pPr>
            <w:bookmarkStart w:id="1" w:name="_Hlk219192000"/>
            <w:r w:rsidRPr="005A3C2A">
              <w:rPr>
                <w:rFonts w:ascii="Times New Roman" w:eastAsia="Times New Roman" w:hAnsi="Times New Roman" w:cs="Times New Roman"/>
                <w:lang w:val="ru-RU" w:eastAsia="zh-CN"/>
              </w:rPr>
              <w:t>Выполнение оценки сейсмической устойчивости грунтовой дамбы хвостохранилища с учётом её фактического состояния на основе нелинейного динамического анализа</w:t>
            </w:r>
            <w:bookmarkEnd w:id="1"/>
            <w:r w:rsidRPr="005A3C2A">
              <w:rPr>
                <w:rFonts w:ascii="Times New Roman" w:eastAsia="Times New Roman" w:hAnsi="Times New Roman" w:cs="Times New Roman"/>
                <w:lang w:val="ru-RU" w:eastAsia="zh-CN"/>
              </w:rPr>
              <w:t>.</w:t>
            </w:r>
          </w:p>
        </w:tc>
      </w:tr>
      <w:tr w:rsidR="00872A12" w:rsidRPr="00663118" w14:paraId="43AB52AA" w14:textId="77777777" w:rsidTr="000E24CF">
        <w:tc>
          <w:tcPr>
            <w:tcW w:w="534" w:type="dxa"/>
          </w:tcPr>
          <w:p w14:paraId="47BBD130"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2</w:t>
            </w:r>
          </w:p>
        </w:tc>
        <w:tc>
          <w:tcPr>
            <w:tcW w:w="2551" w:type="dxa"/>
          </w:tcPr>
          <w:p w14:paraId="0B54FA6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Место поставки товара, оказания услуг/ выполнения работ</w:t>
            </w:r>
          </w:p>
        </w:tc>
        <w:tc>
          <w:tcPr>
            <w:tcW w:w="6629" w:type="dxa"/>
          </w:tcPr>
          <w:p w14:paraId="561609D8" w14:textId="77777777" w:rsidR="00872A12"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Кыргызстан, г. Бишкек / при необходимости - рудник Кумтор</w:t>
            </w:r>
            <w:r>
              <w:rPr>
                <w:rFonts w:ascii="Times New Roman" w:eastAsia="Times New Roman" w:hAnsi="Times New Roman" w:cs="Times New Roman"/>
                <w:lang w:val="ru-RU" w:eastAsia="zh-CN"/>
              </w:rPr>
              <w:t>,</w:t>
            </w:r>
            <w:r w:rsidRPr="005A3C2A">
              <w:rPr>
                <w:rFonts w:ascii="Times New Roman" w:eastAsia="Times New Roman" w:hAnsi="Times New Roman" w:cs="Times New Roman"/>
                <w:lang w:val="ru-RU" w:eastAsia="zh-CN"/>
              </w:rPr>
              <w:t xml:space="preserve"> объект — хвостохранилище ЗИФ</w:t>
            </w:r>
            <w:r>
              <w:rPr>
                <w:rFonts w:ascii="Times New Roman" w:eastAsia="Times New Roman" w:hAnsi="Times New Roman" w:cs="Times New Roman"/>
                <w:lang w:val="ru-RU" w:eastAsia="zh-CN"/>
              </w:rPr>
              <w:t>,</w:t>
            </w:r>
            <w:r w:rsidRPr="005A3C2A">
              <w:rPr>
                <w:rFonts w:ascii="Times New Roman" w:eastAsia="Times New Roman" w:hAnsi="Times New Roman" w:cs="Times New Roman"/>
                <w:lang w:val="ru-RU" w:eastAsia="zh-CN"/>
              </w:rPr>
              <w:t xml:space="preserve"> Кыргызстан, Иссык-Кульская область, Жети-Огузский район</w:t>
            </w:r>
            <w:r>
              <w:rPr>
                <w:rFonts w:ascii="Times New Roman" w:eastAsia="Times New Roman" w:hAnsi="Times New Roman" w:cs="Times New Roman"/>
                <w:lang w:val="ru-RU" w:eastAsia="zh-CN"/>
              </w:rPr>
              <w:t>.</w:t>
            </w:r>
          </w:p>
          <w:p w14:paraId="26847C8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(СИЗ за счет исполнителя, транспорт и проживание в лагере за счет Заказчика)</w:t>
            </w:r>
          </w:p>
        </w:tc>
      </w:tr>
      <w:tr w:rsidR="00872A12" w:rsidRPr="00663118" w14:paraId="38BD5E27" w14:textId="77777777" w:rsidTr="00872A12">
        <w:trPr>
          <w:trHeight w:val="1088"/>
        </w:trPr>
        <w:tc>
          <w:tcPr>
            <w:tcW w:w="534" w:type="dxa"/>
          </w:tcPr>
          <w:p w14:paraId="1E8F1FF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3</w:t>
            </w:r>
          </w:p>
        </w:tc>
        <w:tc>
          <w:tcPr>
            <w:tcW w:w="2551" w:type="dxa"/>
          </w:tcPr>
          <w:p w14:paraId="73CB441D"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Сроки (периоды) поставки товара, оказания услуг, выполнения работ</w:t>
            </w:r>
          </w:p>
        </w:tc>
        <w:tc>
          <w:tcPr>
            <w:tcW w:w="6629" w:type="dxa"/>
          </w:tcPr>
          <w:p w14:paraId="5800FB8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 xml:space="preserve">В течение 60 дней с момента заключения договора. </w:t>
            </w:r>
          </w:p>
        </w:tc>
      </w:tr>
      <w:tr w:rsidR="00872A12" w:rsidRPr="005A3C2A" w14:paraId="0B1AC06C" w14:textId="77777777" w:rsidTr="000E24CF">
        <w:tc>
          <w:tcPr>
            <w:tcW w:w="534" w:type="dxa"/>
          </w:tcPr>
          <w:p w14:paraId="53D1D349"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4</w:t>
            </w:r>
          </w:p>
        </w:tc>
        <w:tc>
          <w:tcPr>
            <w:tcW w:w="2551" w:type="dxa"/>
          </w:tcPr>
          <w:p w14:paraId="33A37E8C"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Порядок (последовательность, этапы) выполнения работ</w:t>
            </w:r>
          </w:p>
        </w:tc>
        <w:tc>
          <w:tcPr>
            <w:tcW w:w="6629" w:type="dxa"/>
          </w:tcPr>
          <w:p w14:paraId="223A9156"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1. Сбор и анализ представленных данных Заказчиком;</w:t>
            </w:r>
          </w:p>
          <w:p w14:paraId="3BE646DE"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2. Подбор и масштабирование расчётных акселерограмм; </w:t>
            </w:r>
          </w:p>
          <w:p w14:paraId="0C397616"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3. Калибровка численных моделей грунтов; </w:t>
            </w:r>
          </w:p>
          <w:p w14:paraId="1373EFC1"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4. Моделирование НДС дамбы с учетом поэтапного возведения; </w:t>
            </w:r>
          </w:p>
          <w:p w14:paraId="61C176B5"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5. Динамический расчёт и оценка сейсмической устойчивости дамбы; </w:t>
            </w:r>
          </w:p>
          <w:p w14:paraId="55F3F56A"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6. Формирование итогового отчёта.</w:t>
            </w:r>
          </w:p>
        </w:tc>
      </w:tr>
      <w:tr w:rsidR="00872A12" w:rsidRPr="00663118" w14:paraId="33FB0E27" w14:textId="77777777" w:rsidTr="005D72CC">
        <w:trPr>
          <w:trHeight w:val="701"/>
        </w:trPr>
        <w:tc>
          <w:tcPr>
            <w:tcW w:w="534" w:type="dxa"/>
          </w:tcPr>
          <w:p w14:paraId="1C54ABB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5</w:t>
            </w:r>
          </w:p>
        </w:tc>
        <w:tc>
          <w:tcPr>
            <w:tcW w:w="2551" w:type="dxa"/>
          </w:tcPr>
          <w:p w14:paraId="774BE24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Требования к поставляемым товарам, выполняемым работам, оказываемым услугам</w:t>
            </w:r>
          </w:p>
        </w:tc>
        <w:tc>
          <w:tcPr>
            <w:tcW w:w="6629" w:type="dxa"/>
          </w:tcPr>
          <w:p w14:paraId="35344EA7"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Работы выполняются согласно:</w:t>
            </w:r>
          </w:p>
          <w:p w14:paraId="32BA3190" w14:textId="77777777" w:rsidR="00872A12" w:rsidRPr="005A3C2A" w:rsidRDefault="00872A12" w:rsidP="005D72CC">
            <w:pPr>
              <w:spacing w:after="0" w:line="240" w:lineRule="auto"/>
              <w:rPr>
                <w:rFonts w:ascii="Times New Roman" w:eastAsia="Times New Roman" w:hAnsi="Times New Roman" w:cs="Times New Roman"/>
                <w:b/>
                <w:bCs/>
                <w:lang w:val="ru-RU" w:eastAsia="zh-CN"/>
              </w:rPr>
            </w:pPr>
            <w:r w:rsidRPr="005A3C2A">
              <w:rPr>
                <w:rFonts w:ascii="Times New Roman" w:eastAsia="Times New Roman" w:hAnsi="Times New Roman" w:cs="Times New Roman"/>
                <w:lang w:val="ru-RU" w:eastAsia="zh-CN"/>
              </w:rPr>
              <w:t>СН КР 20-02:2018/2024, МСН 3.04-01-2005, СНиП 2.02.02-85, СНиП 2.02.01-83*, «Правила безопасности при эксплуатации хвостовых, шламовых и гидроотвальных хозяйств КР» и ICOLD Bulletin 148.</w:t>
            </w:r>
            <w:r w:rsidRPr="005A3C2A">
              <w:rPr>
                <w:rFonts w:ascii="Times New Roman" w:eastAsia="Times New Roman" w:hAnsi="Times New Roman" w:cs="Times New Roman"/>
                <w:b/>
                <w:bCs/>
                <w:lang w:val="ru-RU" w:eastAsia="zh-CN"/>
              </w:rPr>
              <w:t xml:space="preserve"> </w:t>
            </w:r>
          </w:p>
          <w:p w14:paraId="2C0C336F"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Сейсмические параметры: </w:t>
            </w:r>
          </w:p>
          <w:p w14:paraId="6B1E0628"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Уровень МРЗ с периодом повторяемости 1 раз в 5 000 лет. Расчётная сейсмическая интенсивность и PGA определяются Исполнителем самостоятельно и подлежат обоснованию.</w:t>
            </w:r>
          </w:p>
          <w:p w14:paraId="79DF2EC1"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Акселерограммы: </w:t>
            </w:r>
          </w:p>
          <w:p w14:paraId="021196A2"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Набор не менее 7 записей, включая низкочастотный диапазон (0,5–2,0 Гц), длительность импульса не менее 9,4 сек.</w:t>
            </w:r>
          </w:p>
          <w:p w14:paraId="77CC6358"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Моделирование: </w:t>
            </w:r>
          </w:p>
          <w:p w14:paraId="770C2466"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Использование ПО FLAC 2D. Расчет по сечениям R1 и R4 с учетом этапности возведения.</w:t>
            </w:r>
          </w:p>
          <w:p w14:paraId="27DD5085"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Свойства материалов: </w:t>
            </w:r>
          </w:p>
          <w:p w14:paraId="7066D4B5"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Исполнитель не ограничен в выборе расчетных моделей грунтов, но они должны адекватно описывать циклическую нагрузку (рекомендованы: UBCHYST для ИГЭ-1, PM4Silt для ИГЭ-2, Мора-Кулона с Sig3 для ИГЭ-3)</w:t>
            </w:r>
          </w:p>
        </w:tc>
      </w:tr>
      <w:tr w:rsidR="00872A12" w:rsidRPr="00663118" w14:paraId="448C1D0C" w14:textId="77777777" w:rsidTr="000E24CF">
        <w:tc>
          <w:tcPr>
            <w:tcW w:w="534" w:type="dxa"/>
          </w:tcPr>
          <w:p w14:paraId="415AC54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6</w:t>
            </w:r>
          </w:p>
        </w:tc>
        <w:tc>
          <w:tcPr>
            <w:tcW w:w="2551" w:type="dxa"/>
          </w:tcPr>
          <w:p w14:paraId="52504B0E"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Порядок сдачи и приемки товаров, услуг, результатов работ</w:t>
            </w:r>
          </w:p>
        </w:tc>
        <w:tc>
          <w:tcPr>
            <w:tcW w:w="6629" w:type="dxa"/>
          </w:tcPr>
          <w:p w14:paraId="6D5C2C61"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 xml:space="preserve">Приемка осуществляется путем рассмотрения итогового технического отчета на соответствие требованиям ТЗ, СНиП, ICOLD Bulletin 148 и регламентам КГК. </w:t>
            </w:r>
          </w:p>
          <w:p w14:paraId="041F6C58"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В случае необходимости Исполнитель представляет и делает презентацию полученных результатов.</w:t>
            </w:r>
          </w:p>
        </w:tc>
      </w:tr>
      <w:tr w:rsidR="00872A12" w:rsidRPr="00663118" w14:paraId="1BC9AA40" w14:textId="77777777" w:rsidTr="00872A12">
        <w:trPr>
          <w:trHeight w:val="3212"/>
        </w:trPr>
        <w:tc>
          <w:tcPr>
            <w:tcW w:w="534" w:type="dxa"/>
          </w:tcPr>
          <w:p w14:paraId="4E432E39"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7</w:t>
            </w:r>
          </w:p>
        </w:tc>
        <w:tc>
          <w:tcPr>
            <w:tcW w:w="2551" w:type="dxa"/>
          </w:tcPr>
          <w:p w14:paraId="02512AE2"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629" w:type="dxa"/>
          </w:tcPr>
          <w:p w14:paraId="7EE6E256" w14:textId="77777777" w:rsidR="00872A12" w:rsidRPr="005A3C2A" w:rsidRDefault="00872A12" w:rsidP="005D72CC">
            <w:pPr>
              <w:spacing w:after="0" w:line="240" w:lineRule="auto"/>
              <w:rPr>
                <w:rFonts w:ascii="Times New Roman" w:eastAsia="Times New Roman" w:hAnsi="Times New Roman" w:cs="Times New Roman"/>
                <w:b/>
                <w:bCs/>
                <w:lang w:val="ru-RU" w:eastAsia="zh-CN"/>
              </w:rPr>
            </w:pPr>
            <w:r w:rsidRPr="005A3C2A">
              <w:rPr>
                <w:rFonts w:ascii="Times New Roman" w:eastAsia="Times New Roman" w:hAnsi="Times New Roman" w:cs="Times New Roman"/>
                <w:lang w:val="ru-RU" w:eastAsia="zh-CN"/>
              </w:rPr>
              <w:t>Состав отчетности:</w:t>
            </w:r>
          </w:p>
          <w:p w14:paraId="7A85ECF6" w14:textId="77777777" w:rsidR="00872A12" w:rsidRPr="005A3C2A" w:rsidRDefault="00872A12" w:rsidP="005D72CC">
            <w:pPr>
              <w:numPr>
                <w:ilvl w:val="0"/>
                <w:numId w:val="36"/>
              </w:num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Методика подбора акселерограмм;</w:t>
            </w:r>
          </w:p>
          <w:p w14:paraId="7EE08389"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Результаты калибровки моделей грунтов;</w:t>
            </w:r>
          </w:p>
          <w:p w14:paraId="06232DD0"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Графическое представление (карты) распределения напряжений, деформационных и прочностных характеристик грунтов;</w:t>
            </w:r>
          </w:p>
          <w:p w14:paraId="0EA12E9A"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Оценка остаточных деформаций и сейсмоустойчивости дамбы;</w:t>
            </w:r>
          </w:p>
          <w:p w14:paraId="58857999" w14:textId="6944F93A" w:rsidR="00872A12" w:rsidRPr="00902CAF"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 xml:space="preserve">Выводы о сейсмоустойчивости дамбы </w:t>
            </w:r>
            <w:r w:rsidR="00650552">
              <w:rPr>
                <w:rFonts w:ascii="Times New Roman" w:eastAsia="Times New Roman" w:hAnsi="Times New Roman" w:cs="Times New Roman"/>
                <w:lang w:val="ru-RU" w:eastAsia="zh-CN"/>
              </w:rPr>
              <w:t>при отметке</w:t>
            </w:r>
            <w:r w:rsidR="00417485">
              <w:rPr>
                <w:rFonts w:ascii="Times New Roman" w:eastAsia="Times New Roman" w:hAnsi="Times New Roman" w:cs="Times New Roman"/>
                <w:lang w:val="ru-RU" w:eastAsia="zh-CN"/>
              </w:rPr>
              <w:t xml:space="preserve"> гребня 3682м.</w:t>
            </w:r>
          </w:p>
          <w:p w14:paraId="1396D08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Работы считаются завершёнными после подписания Акта выполненных работ.</w:t>
            </w:r>
            <w:r w:rsidRPr="005A3C2A">
              <w:rPr>
                <w:rFonts w:ascii="Times New Roman" w:hAnsi="Times New Roman" w:cs="Times New Roman"/>
                <w:lang w:val="ru-RU"/>
              </w:rPr>
              <w:t xml:space="preserve"> </w:t>
            </w:r>
          </w:p>
        </w:tc>
      </w:tr>
      <w:tr w:rsidR="00872A12" w:rsidRPr="00663118" w14:paraId="7ABDBFE9" w14:textId="77777777" w:rsidTr="000E24CF">
        <w:tc>
          <w:tcPr>
            <w:tcW w:w="534" w:type="dxa"/>
          </w:tcPr>
          <w:p w14:paraId="2295145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8</w:t>
            </w:r>
          </w:p>
        </w:tc>
        <w:tc>
          <w:tcPr>
            <w:tcW w:w="2551" w:type="dxa"/>
          </w:tcPr>
          <w:p w14:paraId="4C3B400D"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Гарантийные обязательства</w:t>
            </w:r>
          </w:p>
        </w:tc>
        <w:tc>
          <w:tcPr>
            <w:tcW w:w="6629" w:type="dxa"/>
          </w:tcPr>
          <w:p w14:paraId="18150DC3"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Исполнитель несёт ответственность за достоверность расчётов и выводов в течение установленного контрактом периода. В случае выявления ошибок в моделировании Исполнитель обязуется провести корректировку расчётов за свой счёт в течение 10 дней.</w:t>
            </w:r>
          </w:p>
        </w:tc>
      </w:tr>
    </w:tbl>
    <w:p w14:paraId="50DCE3C2" w14:textId="77777777" w:rsidR="002A155D" w:rsidRDefault="002A155D" w:rsidP="002A155D">
      <w:pPr>
        <w:ind w:left="75"/>
        <w:contextualSpacing/>
        <w:rPr>
          <w:rFonts w:ascii="Times New Roman" w:hAnsi="Times New Roman" w:cs="Times New Roman"/>
          <w:lang w:val="ru-RU"/>
        </w:rPr>
      </w:pPr>
    </w:p>
    <w:sectPr w:rsidR="002A155D"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1C0D" w14:textId="77777777" w:rsidR="00432CD9" w:rsidRDefault="00432CD9">
      <w:pPr>
        <w:spacing w:after="0" w:line="240" w:lineRule="auto"/>
      </w:pPr>
      <w:r>
        <w:separator/>
      </w:r>
    </w:p>
  </w:endnote>
  <w:endnote w:type="continuationSeparator" w:id="0">
    <w:p w14:paraId="4ED36C3A" w14:textId="77777777" w:rsidR="00432CD9" w:rsidRDefault="0043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CDDB" w14:textId="77777777" w:rsidR="00432CD9" w:rsidRDefault="00432CD9">
      <w:pPr>
        <w:spacing w:after="0" w:line="240" w:lineRule="auto"/>
      </w:pPr>
      <w:r>
        <w:separator/>
      </w:r>
    </w:p>
  </w:footnote>
  <w:footnote w:type="continuationSeparator" w:id="0">
    <w:p w14:paraId="77459C90" w14:textId="77777777" w:rsidR="00432CD9" w:rsidRDefault="0043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84634"/>
    <w:multiLevelType w:val="hybridMultilevel"/>
    <w:tmpl w:val="0FD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5"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172FA"/>
    <w:multiLevelType w:val="hybridMultilevel"/>
    <w:tmpl w:val="495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6"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7"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8"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0661C"/>
    <w:multiLevelType w:val="hybridMultilevel"/>
    <w:tmpl w:val="FDE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84537681">
    <w:abstractNumId w:val="36"/>
  </w:num>
  <w:num w:numId="2" w16cid:durableId="579487975">
    <w:abstractNumId w:val="35"/>
  </w:num>
  <w:num w:numId="3" w16cid:durableId="844444069">
    <w:abstractNumId w:val="20"/>
  </w:num>
  <w:num w:numId="4" w16cid:durableId="1026373844">
    <w:abstractNumId w:val="17"/>
  </w:num>
  <w:num w:numId="5" w16cid:durableId="765074155">
    <w:abstractNumId w:val="8"/>
  </w:num>
  <w:num w:numId="6" w16cid:durableId="2046638177">
    <w:abstractNumId w:val="13"/>
  </w:num>
  <w:num w:numId="7" w16cid:durableId="1759516456">
    <w:abstractNumId w:val="6"/>
  </w:num>
  <w:num w:numId="8" w16cid:durableId="1690598449">
    <w:abstractNumId w:val="21"/>
  </w:num>
  <w:num w:numId="9" w16cid:durableId="1912034775">
    <w:abstractNumId w:val="30"/>
  </w:num>
  <w:num w:numId="10" w16cid:durableId="1214780487">
    <w:abstractNumId w:val="11"/>
  </w:num>
  <w:num w:numId="11" w16cid:durableId="1793478495">
    <w:abstractNumId w:val="24"/>
  </w:num>
  <w:num w:numId="12" w16cid:durableId="1032613596">
    <w:abstractNumId w:val="22"/>
  </w:num>
  <w:num w:numId="13" w16cid:durableId="102772064">
    <w:abstractNumId w:val="38"/>
  </w:num>
  <w:num w:numId="14" w16cid:durableId="900873664">
    <w:abstractNumId w:val="29"/>
  </w:num>
  <w:num w:numId="15" w16cid:durableId="822115721">
    <w:abstractNumId w:val="16"/>
  </w:num>
  <w:num w:numId="16" w16cid:durableId="840237736">
    <w:abstractNumId w:val="12"/>
  </w:num>
  <w:num w:numId="17" w16cid:durableId="1879076239">
    <w:abstractNumId w:val="3"/>
  </w:num>
  <w:num w:numId="18" w16cid:durableId="1338848030">
    <w:abstractNumId w:val="9"/>
  </w:num>
  <w:num w:numId="19" w16cid:durableId="390883087">
    <w:abstractNumId w:val="40"/>
  </w:num>
  <w:num w:numId="20" w16cid:durableId="1715500378">
    <w:abstractNumId w:val="19"/>
  </w:num>
  <w:num w:numId="21" w16cid:durableId="1460566751">
    <w:abstractNumId w:val="34"/>
  </w:num>
  <w:num w:numId="22" w16cid:durableId="1095706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19274">
    <w:abstractNumId w:val="18"/>
  </w:num>
  <w:num w:numId="24" w16cid:durableId="1305812560">
    <w:abstractNumId w:val="32"/>
  </w:num>
  <w:num w:numId="25" w16cid:durableId="1522280296">
    <w:abstractNumId w:val="33"/>
  </w:num>
  <w:num w:numId="26" w16cid:durableId="358508270">
    <w:abstractNumId w:val="37"/>
  </w:num>
  <w:num w:numId="27" w16cid:durableId="1427194642">
    <w:abstractNumId w:val="26"/>
  </w:num>
  <w:num w:numId="28" w16cid:durableId="1142426452">
    <w:abstractNumId w:val="4"/>
  </w:num>
  <w:num w:numId="29" w16cid:durableId="886138496">
    <w:abstractNumId w:val="10"/>
  </w:num>
  <w:num w:numId="30" w16cid:durableId="2050646868">
    <w:abstractNumId w:val="27"/>
  </w:num>
  <w:num w:numId="31" w16cid:durableId="1246720243">
    <w:abstractNumId w:val="7"/>
  </w:num>
  <w:num w:numId="32" w16cid:durableId="1546680593">
    <w:abstractNumId w:val="15"/>
  </w:num>
  <w:num w:numId="33" w16cid:durableId="1185906176">
    <w:abstractNumId w:val="14"/>
  </w:num>
  <w:num w:numId="34" w16cid:durableId="590165785">
    <w:abstractNumId w:val="28"/>
  </w:num>
  <w:num w:numId="35" w16cid:durableId="490289110">
    <w:abstractNumId w:val="25"/>
  </w:num>
  <w:num w:numId="36" w16cid:durableId="1348561817">
    <w:abstractNumId w:val="0"/>
  </w:num>
  <w:num w:numId="37" w16cid:durableId="1717971153">
    <w:abstractNumId w:val="1"/>
  </w:num>
  <w:num w:numId="38" w16cid:durableId="1311323217">
    <w:abstractNumId w:val="23"/>
  </w:num>
  <w:num w:numId="39" w16cid:durableId="1414670204">
    <w:abstractNumId w:val="5"/>
  </w:num>
  <w:num w:numId="40" w16cid:durableId="1267078430">
    <w:abstractNumId w:val="31"/>
  </w:num>
  <w:num w:numId="41" w16cid:durableId="1600527578">
    <w:abstractNumId w:val="2"/>
  </w:num>
  <w:num w:numId="42" w16cid:durableId="10325398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125A1"/>
    <w:rsid w:val="0001697C"/>
    <w:rsid w:val="000502CA"/>
    <w:rsid w:val="0006235B"/>
    <w:rsid w:val="00064346"/>
    <w:rsid w:val="00076C9E"/>
    <w:rsid w:val="0008440E"/>
    <w:rsid w:val="00092E9D"/>
    <w:rsid w:val="00094CCC"/>
    <w:rsid w:val="000B478D"/>
    <w:rsid w:val="000C13CD"/>
    <w:rsid w:val="000C4B86"/>
    <w:rsid w:val="000C7AD5"/>
    <w:rsid w:val="000E681C"/>
    <w:rsid w:val="000F3410"/>
    <w:rsid w:val="000F3666"/>
    <w:rsid w:val="000F42E3"/>
    <w:rsid w:val="000F4D6F"/>
    <w:rsid w:val="000F4FE1"/>
    <w:rsid w:val="000F76DB"/>
    <w:rsid w:val="001020D7"/>
    <w:rsid w:val="00105E0A"/>
    <w:rsid w:val="00116212"/>
    <w:rsid w:val="001314E3"/>
    <w:rsid w:val="00133FFE"/>
    <w:rsid w:val="00136089"/>
    <w:rsid w:val="00136398"/>
    <w:rsid w:val="00137143"/>
    <w:rsid w:val="00140616"/>
    <w:rsid w:val="001459AA"/>
    <w:rsid w:val="001735A4"/>
    <w:rsid w:val="001740C9"/>
    <w:rsid w:val="0017792D"/>
    <w:rsid w:val="001D0BF6"/>
    <w:rsid w:val="001D1ED1"/>
    <w:rsid w:val="001E04FB"/>
    <w:rsid w:val="001F1BE5"/>
    <w:rsid w:val="00200E79"/>
    <w:rsid w:val="0021133C"/>
    <w:rsid w:val="00214A1F"/>
    <w:rsid w:val="00220B6D"/>
    <w:rsid w:val="0022254D"/>
    <w:rsid w:val="002524A2"/>
    <w:rsid w:val="00254FFD"/>
    <w:rsid w:val="00263C61"/>
    <w:rsid w:val="00267FC6"/>
    <w:rsid w:val="00281FF3"/>
    <w:rsid w:val="00284FE7"/>
    <w:rsid w:val="00290042"/>
    <w:rsid w:val="00294E84"/>
    <w:rsid w:val="002A155D"/>
    <w:rsid w:val="002A31F8"/>
    <w:rsid w:val="002A7B3E"/>
    <w:rsid w:val="002B0F6C"/>
    <w:rsid w:val="002B31F0"/>
    <w:rsid w:val="002D0F32"/>
    <w:rsid w:val="002E288A"/>
    <w:rsid w:val="002E525A"/>
    <w:rsid w:val="002E5CB2"/>
    <w:rsid w:val="002E71B5"/>
    <w:rsid w:val="003063C3"/>
    <w:rsid w:val="00314B88"/>
    <w:rsid w:val="00316C1E"/>
    <w:rsid w:val="0032242F"/>
    <w:rsid w:val="00325329"/>
    <w:rsid w:val="00342FF2"/>
    <w:rsid w:val="003521EF"/>
    <w:rsid w:val="00363020"/>
    <w:rsid w:val="00375ED7"/>
    <w:rsid w:val="00376135"/>
    <w:rsid w:val="00385F21"/>
    <w:rsid w:val="003A0006"/>
    <w:rsid w:val="003A7B57"/>
    <w:rsid w:val="003A7EF6"/>
    <w:rsid w:val="003C52FF"/>
    <w:rsid w:val="003E170B"/>
    <w:rsid w:val="003E75AF"/>
    <w:rsid w:val="00417485"/>
    <w:rsid w:val="00421515"/>
    <w:rsid w:val="004232B9"/>
    <w:rsid w:val="004279EC"/>
    <w:rsid w:val="00432CD9"/>
    <w:rsid w:val="00435787"/>
    <w:rsid w:val="00441D77"/>
    <w:rsid w:val="00443275"/>
    <w:rsid w:val="00444EEE"/>
    <w:rsid w:val="00450BF1"/>
    <w:rsid w:val="00453792"/>
    <w:rsid w:val="00471891"/>
    <w:rsid w:val="00480A8D"/>
    <w:rsid w:val="00486A39"/>
    <w:rsid w:val="00492633"/>
    <w:rsid w:val="004B1F71"/>
    <w:rsid w:val="004B4D11"/>
    <w:rsid w:val="004B76EC"/>
    <w:rsid w:val="004E50F6"/>
    <w:rsid w:val="004F0410"/>
    <w:rsid w:val="004F50F2"/>
    <w:rsid w:val="0050653A"/>
    <w:rsid w:val="00506B48"/>
    <w:rsid w:val="005078CB"/>
    <w:rsid w:val="00520650"/>
    <w:rsid w:val="00526BFA"/>
    <w:rsid w:val="00531394"/>
    <w:rsid w:val="005403DE"/>
    <w:rsid w:val="005602F8"/>
    <w:rsid w:val="005764A0"/>
    <w:rsid w:val="00577666"/>
    <w:rsid w:val="00584473"/>
    <w:rsid w:val="005852F1"/>
    <w:rsid w:val="0058591A"/>
    <w:rsid w:val="0059142B"/>
    <w:rsid w:val="00592FE0"/>
    <w:rsid w:val="005A1696"/>
    <w:rsid w:val="005A6908"/>
    <w:rsid w:val="005B0019"/>
    <w:rsid w:val="005B311D"/>
    <w:rsid w:val="005D438C"/>
    <w:rsid w:val="005D6192"/>
    <w:rsid w:val="005D72CC"/>
    <w:rsid w:val="005F0886"/>
    <w:rsid w:val="005F6D7D"/>
    <w:rsid w:val="00605A74"/>
    <w:rsid w:val="006103CE"/>
    <w:rsid w:val="0062031D"/>
    <w:rsid w:val="0062077A"/>
    <w:rsid w:val="00631FDF"/>
    <w:rsid w:val="00632CC2"/>
    <w:rsid w:val="00644C18"/>
    <w:rsid w:val="00650552"/>
    <w:rsid w:val="00655D60"/>
    <w:rsid w:val="00663118"/>
    <w:rsid w:val="00670E37"/>
    <w:rsid w:val="00673585"/>
    <w:rsid w:val="00677093"/>
    <w:rsid w:val="0068250B"/>
    <w:rsid w:val="006855C1"/>
    <w:rsid w:val="0068781C"/>
    <w:rsid w:val="006B25A0"/>
    <w:rsid w:val="006B439F"/>
    <w:rsid w:val="006C48D3"/>
    <w:rsid w:val="006C7A7C"/>
    <w:rsid w:val="006D0D74"/>
    <w:rsid w:val="006E3C2C"/>
    <w:rsid w:val="006E6493"/>
    <w:rsid w:val="006E7DAB"/>
    <w:rsid w:val="006F3DB3"/>
    <w:rsid w:val="006F3F3C"/>
    <w:rsid w:val="00706F9F"/>
    <w:rsid w:val="0071271E"/>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C06D5"/>
    <w:rsid w:val="007E0CE5"/>
    <w:rsid w:val="007E4766"/>
    <w:rsid w:val="007F4848"/>
    <w:rsid w:val="00800A34"/>
    <w:rsid w:val="00812D27"/>
    <w:rsid w:val="00845D99"/>
    <w:rsid w:val="00850902"/>
    <w:rsid w:val="00861D3D"/>
    <w:rsid w:val="00870AF5"/>
    <w:rsid w:val="00872A12"/>
    <w:rsid w:val="008B402F"/>
    <w:rsid w:val="008C23D0"/>
    <w:rsid w:val="008C50B1"/>
    <w:rsid w:val="008D14F5"/>
    <w:rsid w:val="008E2088"/>
    <w:rsid w:val="008E47DD"/>
    <w:rsid w:val="00906B45"/>
    <w:rsid w:val="0091591B"/>
    <w:rsid w:val="00916608"/>
    <w:rsid w:val="009313F8"/>
    <w:rsid w:val="0093189F"/>
    <w:rsid w:val="009328BA"/>
    <w:rsid w:val="00933C19"/>
    <w:rsid w:val="00945ED0"/>
    <w:rsid w:val="00946117"/>
    <w:rsid w:val="00954164"/>
    <w:rsid w:val="009577E5"/>
    <w:rsid w:val="00963161"/>
    <w:rsid w:val="00972C58"/>
    <w:rsid w:val="0097573B"/>
    <w:rsid w:val="00982E96"/>
    <w:rsid w:val="00985D96"/>
    <w:rsid w:val="00987766"/>
    <w:rsid w:val="009966A3"/>
    <w:rsid w:val="009A3B7F"/>
    <w:rsid w:val="009B376D"/>
    <w:rsid w:val="009B42DE"/>
    <w:rsid w:val="009C5C3A"/>
    <w:rsid w:val="009C6AED"/>
    <w:rsid w:val="009F515B"/>
    <w:rsid w:val="009F7D42"/>
    <w:rsid w:val="00A01205"/>
    <w:rsid w:val="00A10F1A"/>
    <w:rsid w:val="00A239BE"/>
    <w:rsid w:val="00A259F3"/>
    <w:rsid w:val="00A53E90"/>
    <w:rsid w:val="00A546A8"/>
    <w:rsid w:val="00A64C25"/>
    <w:rsid w:val="00A66D7E"/>
    <w:rsid w:val="00A84DD7"/>
    <w:rsid w:val="00A94E28"/>
    <w:rsid w:val="00AA22C7"/>
    <w:rsid w:val="00AA28A5"/>
    <w:rsid w:val="00AB4191"/>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F1ECC"/>
    <w:rsid w:val="00BF1ED5"/>
    <w:rsid w:val="00BF34CD"/>
    <w:rsid w:val="00BF6950"/>
    <w:rsid w:val="00C05E37"/>
    <w:rsid w:val="00C241E1"/>
    <w:rsid w:val="00C247C0"/>
    <w:rsid w:val="00C25F69"/>
    <w:rsid w:val="00C54E45"/>
    <w:rsid w:val="00C56411"/>
    <w:rsid w:val="00C57248"/>
    <w:rsid w:val="00C62756"/>
    <w:rsid w:val="00C758B4"/>
    <w:rsid w:val="00C8197E"/>
    <w:rsid w:val="00C83379"/>
    <w:rsid w:val="00C83CBD"/>
    <w:rsid w:val="00CA4671"/>
    <w:rsid w:val="00CA518D"/>
    <w:rsid w:val="00CB04F5"/>
    <w:rsid w:val="00CB1C75"/>
    <w:rsid w:val="00CC4950"/>
    <w:rsid w:val="00CD0015"/>
    <w:rsid w:val="00CD1B7E"/>
    <w:rsid w:val="00CE7554"/>
    <w:rsid w:val="00CF4A24"/>
    <w:rsid w:val="00CF6410"/>
    <w:rsid w:val="00D12BAD"/>
    <w:rsid w:val="00D1494A"/>
    <w:rsid w:val="00D30D42"/>
    <w:rsid w:val="00D36985"/>
    <w:rsid w:val="00D408BD"/>
    <w:rsid w:val="00D510BD"/>
    <w:rsid w:val="00D5463C"/>
    <w:rsid w:val="00D54A77"/>
    <w:rsid w:val="00D75463"/>
    <w:rsid w:val="00D81D0B"/>
    <w:rsid w:val="00D94D86"/>
    <w:rsid w:val="00DA2680"/>
    <w:rsid w:val="00DA65C4"/>
    <w:rsid w:val="00DA6710"/>
    <w:rsid w:val="00DC1969"/>
    <w:rsid w:val="00DC36DD"/>
    <w:rsid w:val="00DD67B2"/>
    <w:rsid w:val="00DD773F"/>
    <w:rsid w:val="00DF6AE5"/>
    <w:rsid w:val="00DF71AC"/>
    <w:rsid w:val="00E10AF3"/>
    <w:rsid w:val="00E12163"/>
    <w:rsid w:val="00E12FD3"/>
    <w:rsid w:val="00E22960"/>
    <w:rsid w:val="00E23A66"/>
    <w:rsid w:val="00E2456D"/>
    <w:rsid w:val="00E35CDB"/>
    <w:rsid w:val="00E365E0"/>
    <w:rsid w:val="00E414B3"/>
    <w:rsid w:val="00E42EE7"/>
    <w:rsid w:val="00E42F1A"/>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61859"/>
    <w:rsid w:val="00F72FFC"/>
    <w:rsid w:val="00F819CB"/>
    <w:rsid w:val="00F82475"/>
    <w:rsid w:val="00F86494"/>
    <w:rsid w:val="00F906DD"/>
    <w:rsid w:val="00FA00EC"/>
    <w:rsid w:val="00FA5FC3"/>
    <w:rsid w:val="00FA61C9"/>
    <w:rsid w:val="00FA760B"/>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6481</Words>
  <Characters>36943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60</cp:revision>
  <cp:lastPrinted>2025-10-09T07:50:00Z</cp:lastPrinted>
  <dcterms:created xsi:type="dcterms:W3CDTF">2026-02-02T08:47:00Z</dcterms:created>
  <dcterms:modified xsi:type="dcterms:W3CDTF">2026-03-26T06:57:00Z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