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94D8E" w14:textId="138517C4" w:rsidR="007B1F57" w:rsidRPr="00B422F0" w:rsidRDefault="00B422F0" w:rsidP="00CB033E">
      <w:pPr>
        <w:spacing w:line="276" w:lineRule="auto"/>
        <w:jc w:val="center"/>
        <w:rPr>
          <w:rFonts w:ascii="Times New Roman" w:hAnsi="Times New Roman" w:cs="Times New Roman"/>
          <w:b/>
        </w:rPr>
      </w:pPr>
      <w:r w:rsidRPr="00B422F0">
        <w:rPr>
          <w:rFonts w:ascii="Times New Roman" w:hAnsi="Times New Roman" w:cs="Times New Roman"/>
          <w:b/>
        </w:rPr>
        <w:t>TECHNICAL SPECIFICATION</w:t>
      </w:r>
    </w:p>
    <w:p w14:paraId="19D596F4" w14:textId="50992AF4" w:rsidR="007B1F57" w:rsidRPr="00B422F0" w:rsidRDefault="00B422F0" w:rsidP="00CB033E">
      <w:pPr>
        <w:pStyle w:val="af3"/>
        <w:tabs>
          <w:tab w:val="center" w:pos="4844"/>
          <w:tab w:val="left" w:pos="6360"/>
        </w:tabs>
        <w:spacing w:line="276" w:lineRule="auto"/>
        <w:rPr>
          <w:sz w:val="24"/>
          <w:szCs w:val="24"/>
          <w:lang w:val="en-US"/>
        </w:rPr>
      </w:pPr>
      <w:r w:rsidRPr="001456CB">
        <w:rPr>
          <w:sz w:val="24"/>
          <w:szCs w:val="24"/>
          <w:lang w:val="en-US"/>
        </w:rPr>
        <w:t>for the design, supply, and construction of</w:t>
      </w:r>
      <w:r w:rsidRPr="001456CB">
        <w:rPr>
          <w:sz w:val="24"/>
          <w:szCs w:val="24"/>
          <w:lang w:val="en-US"/>
        </w:rPr>
        <w:br/>
        <w:t>two three-</w:t>
      </w:r>
      <w:proofErr w:type="spellStart"/>
      <w:r w:rsidRPr="001456CB">
        <w:rPr>
          <w:sz w:val="24"/>
          <w:szCs w:val="24"/>
          <w:lang w:val="en-US"/>
        </w:rPr>
        <w:t>storey</w:t>
      </w:r>
      <w:proofErr w:type="spellEnd"/>
      <w:r w:rsidRPr="001456CB">
        <w:rPr>
          <w:sz w:val="24"/>
          <w:szCs w:val="24"/>
          <w:lang w:val="en-US"/>
        </w:rPr>
        <w:t xml:space="preserve"> prefabricated modular residential buildings</w:t>
      </w:r>
      <w:r w:rsidRPr="001456CB">
        <w:rPr>
          <w:sz w:val="24"/>
          <w:szCs w:val="24"/>
          <w:lang w:val="en-US"/>
        </w:rPr>
        <w:br/>
        <w:t>at the “</w:t>
      </w:r>
      <w:proofErr w:type="spellStart"/>
      <w:r w:rsidRPr="001456CB">
        <w:rPr>
          <w:sz w:val="24"/>
          <w:szCs w:val="24"/>
          <w:lang w:val="en-US"/>
        </w:rPr>
        <w:t>Kumtor</w:t>
      </w:r>
      <w:proofErr w:type="spellEnd"/>
      <w:r w:rsidRPr="001456CB">
        <w:rPr>
          <w:sz w:val="24"/>
          <w:szCs w:val="24"/>
          <w:lang w:val="en-US"/>
        </w:rPr>
        <w:t>” mine site</w:t>
      </w:r>
    </w:p>
    <w:p w14:paraId="320CC74A" w14:textId="77777777" w:rsidR="007B1F57" w:rsidRPr="00B422F0" w:rsidRDefault="007B1F57" w:rsidP="00CB033E">
      <w:pPr>
        <w:pStyle w:val="af3"/>
        <w:spacing w:line="276" w:lineRule="auto"/>
        <w:contextualSpacing/>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781"/>
        <w:gridCol w:w="6428"/>
      </w:tblGrid>
      <w:tr w:rsidR="00B422F0" w:rsidRPr="00CB04F5" w14:paraId="5AF827D5" w14:textId="77777777" w:rsidTr="00B422F0">
        <w:trPr>
          <w:trHeight w:val="683"/>
        </w:trPr>
        <w:tc>
          <w:tcPr>
            <w:tcW w:w="351" w:type="pct"/>
            <w:vAlign w:val="center"/>
          </w:tcPr>
          <w:p w14:paraId="3085A6E3" w14:textId="570E39A3" w:rsidR="00B422F0" w:rsidRPr="00CB04F5" w:rsidRDefault="00B422F0" w:rsidP="00CB033E">
            <w:pPr>
              <w:spacing w:line="276" w:lineRule="auto"/>
              <w:contextualSpacing/>
              <w:jc w:val="center"/>
              <w:rPr>
                <w:rFonts w:ascii="Times New Roman" w:hAnsi="Times New Roman" w:cs="Times New Roman"/>
                <w:b/>
              </w:rPr>
            </w:pPr>
            <w:r>
              <w:rPr>
                <w:rFonts w:ascii="Times New Roman" w:eastAsia="Times New Roman" w:hAnsi="Times New Roman" w:cs="Times New Roman"/>
                <w:b/>
                <w:bCs/>
                <w:lang w:eastAsia="ru-RU"/>
              </w:rPr>
              <w:t xml:space="preserve">Item </w:t>
            </w:r>
            <w:r w:rsidRPr="001456CB">
              <w:rPr>
                <w:rFonts w:ascii="Times New Roman" w:eastAsia="Times New Roman" w:hAnsi="Times New Roman" w:cs="Times New Roman"/>
                <w:b/>
                <w:bCs/>
                <w:lang w:eastAsia="ru-RU"/>
              </w:rPr>
              <w:t>No.</w:t>
            </w:r>
          </w:p>
        </w:tc>
        <w:tc>
          <w:tcPr>
            <w:tcW w:w="1404" w:type="pct"/>
            <w:vAlign w:val="center"/>
          </w:tcPr>
          <w:p w14:paraId="0AF2E7A7" w14:textId="605B02A7" w:rsidR="00B422F0" w:rsidRPr="00B422F0" w:rsidRDefault="00B422F0" w:rsidP="00CB033E">
            <w:pPr>
              <w:spacing w:line="276" w:lineRule="auto"/>
              <w:contextualSpacing/>
              <w:jc w:val="center"/>
              <w:rPr>
                <w:rFonts w:ascii="Times New Roman" w:hAnsi="Times New Roman" w:cs="Times New Roman"/>
                <w:b/>
              </w:rPr>
            </w:pPr>
            <w:r w:rsidRPr="001456CB">
              <w:rPr>
                <w:rFonts w:ascii="Times New Roman" w:eastAsia="Times New Roman" w:hAnsi="Times New Roman" w:cs="Times New Roman"/>
                <w:b/>
                <w:bCs/>
                <w:lang w:eastAsia="ru-RU"/>
              </w:rPr>
              <w:t>List of Key Data and Requirements</w:t>
            </w:r>
          </w:p>
        </w:tc>
        <w:tc>
          <w:tcPr>
            <w:tcW w:w="3245" w:type="pct"/>
            <w:vAlign w:val="center"/>
          </w:tcPr>
          <w:p w14:paraId="23ADBB53" w14:textId="72134537" w:rsidR="00B422F0" w:rsidRPr="00CB04F5" w:rsidRDefault="00B422F0" w:rsidP="00CB033E">
            <w:pPr>
              <w:spacing w:line="276" w:lineRule="auto"/>
              <w:contextualSpacing/>
              <w:jc w:val="center"/>
              <w:rPr>
                <w:rFonts w:ascii="Times New Roman" w:hAnsi="Times New Roman" w:cs="Times New Roman"/>
                <w:b/>
              </w:rPr>
            </w:pPr>
            <w:r w:rsidRPr="001456CB">
              <w:rPr>
                <w:rFonts w:ascii="Times New Roman" w:eastAsia="Times New Roman" w:hAnsi="Times New Roman" w:cs="Times New Roman"/>
                <w:b/>
                <w:bCs/>
                <w:lang w:eastAsia="ru-RU"/>
              </w:rPr>
              <w:t>Key Data and Requirements</w:t>
            </w:r>
          </w:p>
        </w:tc>
      </w:tr>
      <w:tr w:rsidR="00B422F0" w:rsidRPr="000D3654" w14:paraId="44C86091" w14:textId="77777777" w:rsidTr="008451C4">
        <w:trPr>
          <w:trHeight w:val="436"/>
        </w:trPr>
        <w:tc>
          <w:tcPr>
            <w:tcW w:w="351" w:type="pct"/>
          </w:tcPr>
          <w:p w14:paraId="7D1CF78F" w14:textId="351CF06A"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1</w:t>
            </w:r>
          </w:p>
        </w:tc>
        <w:tc>
          <w:tcPr>
            <w:tcW w:w="1404" w:type="pct"/>
          </w:tcPr>
          <w:p w14:paraId="5B521957" w14:textId="596C233A"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Location of the Facility</w:t>
            </w:r>
          </w:p>
        </w:tc>
        <w:tc>
          <w:tcPr>
            <w:tcW w:w="3245" w:type="pct"/>
          </w:tcPr>
          <w:p w14:paraId="77A30A20" w14:textId="4F37428E" w:rsidR="00B422F0" w:rsidRPr="0079255B"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 xml:space="preserve">Kyrgyz Republic, Issyk-Kul Region, </w:t>
            </w:r>
            <w:proofErr w:type="spellStart"/>
            <w:r w:rsidRPr="001456CB">
              <w:rPr>
                <w:rFonts w:ascii="Times New Roman" w:eastAsia="Times New Roman" w:hAnsi="Times New Roman" w:cs="Times New Roman"/>
                <w:lang w:eastAsia="ru-RU"/>
              </w:rPr>
              <w:t>Jeti-Oguz</w:t>
            </w:r>
            <w:proofErr w:type="spellEnd"/>
            <w:r w:rsidRPr="001456CB">
              <w:rPr>
                <w:rFonts w:ascii="Times New Roman" w:eastAsia="Times New Roman" w:hAnsi="Times New Roman" w:cs="Times New Roman"/>
                <w:lang w:eastAsia="ru-RU"/>
              </w:rPr>
              <w:t xml:space="preserve"> District, </w:t>
            </w:r>
            <w:proofErr w:type="spellStart"/>
            <w:r w:rsidRPr="001456CB">
              <w:rPr>
                <w:rFonts w:ascii="Times New Roman" w:eastAsia="Times New Roman" w:hAnsi="Times New Roman" w:cs="Times New Roman"/>
                <w:lang w:eastAsia="ru-RU"/>
              </w:rPr>
              <w:t>Kumtor</w:t>
            </w:r>
            <w:proofErr w:type="spellEnd"/>
            <w:r w:rsidRPr="001456CB">
              <w:rPr>
                <w:rFonts w:ascii="Times New Roman" w:eastAsia="Times New Roman" w:hAnsi="Times New Roman" w:cs="Times New Roman"/>
                <w:lang w:eastAsia="ru-RU"/>
              </w:rPr>
              <w:t xml:space="preserve"> gold deposit</w:t>
            </w:r>
          </w:p>
        </w:tc>
      </w:tr>
      <w:tr w:rsidR="00B422F0" w:rsidRPr="00CB04F5" w14:paraId="6209FCDE" w14:textId="77777777" w:rsidTr="008451C4">
        <w:tblPrEx>
          <w:tblLook w:val="0000" w:firstRow="0" w:lastRow="0" w:firstColumn="0" w:lastColumn="0" w:noHBand="0" w:noVBand="0"/>
        </w:tblPrEx>
        <w:trPr>
          <w:trHeight w:val="422"/>
        </w:trPr>
        <w:tc>
          <w:tcPr>
            <w:tcW w:w="351" w:type="pct"/>
          </w:tcPr>
          <w:p w14:paraId="562D66BA" w14:textId="43FEB0D7"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2</w:t>
            </w:r>
          </w:p>
        </w:tc>
        <w:tc>
          <w:tcPr>
            <w:tcW w:w="1404" w:type="pct"/>
          </w:tcPr>
          <w:p w14:paraId="26CAD56C" w14:textId="62FC153E"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Client</w:t>
            </w:r>
          </w:p>
        </w:tc>
        <w:tc>
          <w:tcPr>
            <w:tcW w:w="3245" w:type="pct"/>
          </w:tcPr>
          <w:p w14:paraId="4E6A60A2" w14:textId="3E635EFC"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w:t>
            </w:r>
            <w:proofErr w:type="spellStart"/>
            <w:r w:rsidRPr="001456CB">
              <w:rPr>
                <w:rFonts w:ascii="Times New Roman" w:eastAsia="Times New Roman" w:hAnsi="Times New Roman" w:cs="Times New Roman"/>
                <w:lang w:eastAsia="ru-RU"/>
              </w:rPr>
              <w:t>Kumtor</w:t>
            </w:r>
            <w:proofErr w:type="spellEnd"/>
            <w:r w:rsidRPr="001456CB">
              <w:rPr>
                <w:rFonts w:ascii="Times New Roman" w:eastAsia="Times New Roman" w:hAnsi="Times New Roman" w:cs="Times New Roman"/>
                <w:lang w:eastAsia="ru-RU"/>
              </w:rPr>
              <w:t xml:space="preserve"> Gold Company” CJSC</w:t>
            </w:r>
          </w:p>
        </w:tc>
      </w:tr>
      <w:tr w:rsidR="00B422F0" w:rsidRPr="00CB04F5" w14:paraId="655B2E62" w14:textId="77777777" w:rsidTr="008451C4">
        <w:tblPrEx>
          <w:tblLook w:val="0000" w:firstRow="0" w:lastRow="0" w:firstColumn="0" w:lastColumn="0" w:noHBand="0" w:noVBand="0"/>
        </w:tblPrEx>
        <w:trPr>
          <w:trHeight w:val="467"/>
        </w:trPr>
        <w:tc>
          <w:tcPr>
            <w:tcW w:w="351" w:type="pct"/>
          </w:tcPr>
          <w:p w14:paraId="3436BE92" w14:textId="7B906F1D"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3</w:t>
            </w:r>
          </w:p>
        </w:tc>
        <w:tc>
          <w:tcPr>
            <w:tcW w:w="1404" w:type="pct"/>
          </w:tcPr>
          <w:p w14:paraId="3339AC6C" w14:textId="7B6FFCF0"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Contractor</w:t>
            </w:r>
          </w:p>
        </w:tc>
        <w:tc>
          <w:tcPr>
            <w:tcW w:w="3245" w:type="pct"/>
          </w:tcPr>
          <w:p w14:paraId="46988CB7" w14:textId="5B633244"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To be appointed by the Client</w:t>
            </w:r>
          </w:p>
        </w:tc>
      </w:tr>
      <w:tr w:rsidR="00B422F0" w:rsidRPr="00CB04F5" w14:paraId="58F783CB" w14:textId="77777777" w:rsidTr="008451C4">
        <w:tblPrEx>
          <w:tblLook w:val="0000" w:firstRow="0" w:lastRow="0" w:firstColumn="0" w:lastColumn="0" w:noHBand="0" w:noVBand="0"/>
        </w:tblPrEx>
        <w:trPr>
          <w:trHeight w:val="436"/>
        </w:trPr>
        <w:tc>
          <w:tcPr>
            <w:tcW w:w="351" w:type="pct"/>
          </w:tcPr>
          <w:p w14:paraId="760F40A3" w14:textId="298361C3"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4</w:t>
            </w:r>
          </w:p>
        </w:tc>
        <w:tc>
          <w:tcPr>
            <w:tcW w:w="1404" w:type="pct"/>
          </w:tcPr>
          <w:p w14:paraId="422FA1A7" w14:textId="2DE8377F"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Purpose</w:t>
            </w:r>
          </w:p>
        </w:tc>
        <w:tc>
          <w:tcPr>
            <w:tcW w:w="3245" w:type="pct"/>
          </w:tcPr>
          <w:p w14:paraId="385967FF" w14:textId="342FAA9C"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Residential accommodation blocks for a rotational (shift-based) workers’ camp</w:t>
            </w:r>
          </w:p>
        </w:tc>
      </w:tr>
      <w:tr w:rsidR="00B422F0" w:rsidRPr="00B422F0" w14:paraId="05368820" w14:textId="77777777" w:rsidTr="008451C4">
        <w:tblPrEx>
          <w:tblLook w:val="0000" w:firstRow="0" w:lastRow="0" w:firstColumn="0" w:lastColumn="0" w:noHBand="0" w:noVBand="0"/>
        </w:tblPrEx>
        <w:trPr>
          <w:trHeight w:val="571"/>
        </w:trPr>
        <w:tc>
          <w:tcPr>
            <w:tcW w:w="351" w:type="pct"/>
          </w:tcPr>
          <w:p w14:paraId="2A87DAA3" w14:textId="542249CF"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5</w:t>
            </w:r>
          </w:p>
        </w:tc>
        <w:tc>
          <w:tcPr>
            <w:tcW w:w="1404" w:type="pct"/>
          </w:tcPr>
          <w:p w14:paraId="38DB7B87" w14:textId="54CE6F73"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Special Construction Conditions</w:t>
            </w:r>
          </w:p>
        </w:tc>
        <w:tc>
          <w:tcPr>
            <w:tcW w:w="3245" w:type="pct"/>
          </w:tcPr>
          <w:p w14:paraId="60C51EAC" w14:textId="3A43F210" w:rsidR="00B422F0" w:rsidRPr="00B422F0" w:rsidRDefault="00B422F0" w:rsidP="00CB033E">
            <w:pPr>
              <w:autoSpaceDE w:val="0"/>
              <w:autoSpaceDN w:val="0"/>
              <w:adjustRightInd w:val="0"/>
              <w:spacing w:line="276" w:lineRule="auto"/>
              <w:contextualSpacing/>
              <w:rPr>
                <w:rFonts w:ascii="Times New Roman" w:eastAsia="@Arial Unicode MS" w:hAnsi="Times New Roman" w:cs="Times New Roman"/>
                <w:color w:val="000000"/>
              </w:rPr>
            </w:pPr>
            <w:r w:rsidRPr="001456CB">
              <w:rPr>
                <w:rFonts w:ascii="Times New Roman" w:eastAsia="Times New Roman" w:hAnsi="Times New Roman" w:cs="Times New Roman"/>
                <w:lang w:eastAsia="ru-RU"/>
              </w:rPr>
              <w:t xml:space="preserve">The installation site of the two residential blocks is located in high-altitude conditions — at an elevation of 3662 m above sea level. </w:t>
            </w:r>
            <w:r w:rsidRPr="001456CB">
              <w:rPr>
                <w:rFonts w:ascii="Times New Roman" w:eastAsia="Times New Roman" w:hAnsi="Times New Roman" w:cs="Times New Roman"/>
                <w:b/>
                <w:bCs/>
                <w:lang w:eastAsia="ru-RU"/>
              </w:rPr>
              <w:t>Climatic Data:</w:t>
            </w:r>
            <w:r w:rsidRPr="001456CB">
              <w:rPr>
                <w:rFonts w:ascii="Times New Roman" w:eastAsia="Times New Roman" w:hAnsi="Times New Roman" w:cs="Times New Roman"/>
                <w:lang w:eastAsia="ru-RU"/>
              </w:rPr>
              <w:t xml:space="preserve"> - Humidity zone: dry - Climatic sub-region: IА - Design average temperature of the coldest continuous 5-day period: –31°C - Design average temperature of the coldest day: –49°C - Absolute maximum air temperature: +23°C - Seismicity of the construction site: 9 points on the MSK-64 scale - Average wind speed: 9 m/sec - Design snow load: P = 67 </w:t>
            </w:r>
            <w:proofErr w:type="spellStart"/>
            <w:r w:rsidRPr="001456CB">
              <w:rPr>
                <w:rFonts w:ascii="Times New Roman" w:eastAsia="Times New Roman" w:hAnsi="Times New Roman" w:cs="Times New Roman"/>
                <w:lang w:eastAsia="ru-RU"/>
              </w:rPr>
              <w:t>kgf</w:t>
            </w:r>
            <w:proofErr w:type="spellEnd"/>
            <w:r w:rsidRPr="001456CB">
              <w:rPr>
                <w:rFonts w:ascii="Times New Roman" w:eastAsia="Times New Roman" w:hAnsi="Times New Roman" w:cs="Times New Roman"/>
                <w:lang w:eastAsia="ru-RU"/>
              </w:rPr>
              <w:t>/m²</w:t>
            </w:r>
          </w:p>
        </w:tc>
      </w:tr>
      <w:tr w:rsidR="00B422F0" w:rsidRPr="00B422F0" w14:paraId="47774ABB" w14:textId="77777777" w:rsidTr="008451C4">
        <w:tblPrEx>
          <w:tblLook w:val="0000" w:firstRow="0" w:lastRow="0" w:firstColumn="0" w:lastColumn="0" w:noHBand="0" w:noVBand="0"/>
        </w:tblPrEx>
        <w:trPr>
          <w:trHeight w:val="571"/>
        </w:trPr>
        <w:tc>
          <w:tcPr>
            <w:tcW w:w="351" w:type="pct"/>
          </w:tcPr>
          <w:p w14:paraId="1810ECB9" w14:textId="266AB44E" w:rsidR="00B422F0" w:rsidRPr="00CB04F5" w:rsidRDefault="00B422F0" w:rsidP="00CB033E">
            <w:pPr>
              <w:spacing w:line="276" w:lineRule="auto"/>
              <w:contextualSpacing/>
              <w:rPr>
                <w:rFonts w:ascii="Times New Roman" w:hAnsi="Times New Roman" w:cs="Times New Roman"/>
              </w:rPr>
            </w:pPr>
            <w:r>
              <w:rPr>
                <w:rFonts w:ascii="Times New Roman" w:eastAsia="Times New Roman" w:hAnsi="Times New Roman" w:cs="Times New Roman"/>
                <w:lang w:eastAsia="ru-RU"/>
              </w:rPr>
              <w:t>6</w:t>
            </w:r>
          </w:p>
        </w:tc>
        <w:tc>
          <w:tcPr>
            <w:tcW w:w="1404" w:type="pct"/>
          </w:tcPr>
          <w:p w14:paraId="5C56386B" w14:textId="505F3179" w:rsidR="00B422F0" w:rsidRPr="00B422F0"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Requirements and General Description of the Scope of Work</w:t>
            </w:r>
          </w:p>
        </w:tc>
        <w:tc>
          <w:tcPr>
            <w:tcW w:w="3245" w:type="pct"/>
          </w:tcPr>
          <w:p w14:paraId="43CE66EE" w14:textId="77777777" w:rsidR="00B422F0" w:rsidRPr="00B422F0" w:rsidRDefault="00B422F0" w:rsidP="00CB033E">
            <w:pPr>
              <w:pStyle w:val="ae"/>
              <w:spacing w:before="0" w:beforeAutospacing="0" w:after="0" w:afterAutospacing="0" w:line="276" w:lineRule="auto"/>
            </w:pPr>
            <w:r w:rsidRPr="00B422F0">
              <w:rPr>
                <w:rStyle w:val="af"/>
                <w:rFonts w:eastAsiaTheme="majorEastAsia"/>
              </w:rPr>
              <w:t>I. Engineering and Geological Surveys:</w:t>
            </w:r>
            <w:r w:rsidRPr="00B422F0">
              <w:br/>
              <w:t>Perform engineering and geological surveys in a volume sufficient for the development of the Working Project.</w:t>
            </w:r>
          </w:p>
          <w:p w14:paraId="604F98BE" w14:textId="77777777" w:rsidR="00B422F0" w:rsidRPr="00B422F0" w:rsidRDefault="00B422F0" w:rsidP="00CB033E">
            <w:pPr>
              <w:pStyle w:val="ae"/>
              <w:spacing w:before="0" w:beforeAutospacing="0" w:after="0" w:afterAutospacing="0" w:line="276" w:lineRule="auto"/>
              <w:rPr>
                <w:rStyle w:val="af"/>
                <w:rFonts w:eastAsiaTheme="majorEastAsia"/>
              </w:rPr>
            </w:pPr>
          </w:p>
          <w:p w14:paraId="68A39A85" w14:textId="77777777" w:rsidR="00B422F0" w:rsidRPr="00B422F0" w:rsidRDefault="00B422F0" w:rsidP="00CB033E">
            <w:pPr>
              <w:pStyle w:val="ae"/>
              <w:spacing w:before="0" w:beforeAutospacing="0" w:after="0" w:afterAutospacing="0" w:line="276" w:lineRule="auto"/>
            </w:pPr>
            <w:r w:rsidRPr="00B422F0">
              <w:rPr>
                <w:rStyle w:val="af"/>
                <w:rFonts w:eastAsiaTheme="majorEastAsia"/>
              </w:rPr>
              <w:t>II. Design Requirements:</w:t>
            </w:r>
            <w:r w:rsidRPr="00B422F0">
              <w:br/>
              <w:t>Based on the Client’s assignment and in accordance with the current construction norms and regulations of the Kyrgyz Republic, develop the Working Project for the “Construction of two three-</w:t>
            </w:r>
            <w:proofErr w:type="spellStart"/>
            <w:r w:rsidRPr="00B422F0">
              <w:t>storey</w:t>
            </w:r>
            <w:proofErr w:type="spellEnd"/>
            <w:r w:rsidRPr="00B422F0">
              <w:t xml:space="preserve"> residential blocks at the </w:t>
            </w:r>
            <w:proofErr w:type="spellStart"/>
            <w:r w:rsidRPr="00B422F0">
              <w:t>Kumtor</w:t>
            </w:r>
            <w:proofErr w:type="spellEnd"/>
            <w:r w:rsidRPr="00B422F0">
              <w:t xml:space="preserve"> mine” (for a total capacity of 600 beds). The residential blocks must include a connection to the existing corridor according to the attached scheme. Provide for connection to the existing utility networks of the </w:t>
            </w:r>
            <w:proofErr w:type="spellStart"/>
            <w:r w:rsidRPr="00B422F0">
              <w:t>Kumtor</w:t>
            </w:r>
            <w:proofErr w:type="spellEnd"/>
            <w:r w:rsidRPr="00B422F0">
              <w:t xml:space="preserve"> mine camp.</w:t>
            </w:r>
          </w:p>
          <w:p w14:paraId="676BD6ED" w14:textId="77777777" w:rsidR="00B422F0" w:rsidRPr="00B422F0" w:rsidRDefault="00B422F0" w:rsidP="00CB033E">
            <w:pPr>
              <w:pStyle w:val="ae"/>
              <w:spacing w:before="0" w:beforeAutospacing="0" w:after="0" w:afterAutospacing="0" w:line="276" w:lineRule="auto"/>
              <w:rPr>
                <w:i/>
                <w:u w:val="single"/>
              </w:rPr>
            </w:pPr>
          </w:p>
          <w:p w14:paraId="2F21308B" w14:textId="77777777" w:rsidR="00B422F0" w:rsidRPr="00B422F0" w:rsidRDefault="00B422F0" w:rsidP="00CB033E">
            <w:pPr>
              <w:pStyle w:val="ae"/>
              <w:spacing w:before="0" w:beforeAutospacing="0" w:after="0" w:afterAutospacing="0" w:line="276" w:lineRule="auto"/>
            </w:pPr>
            <w:r w:rsidRPr="00B422F0">
              <w:rPr>
                <w:i/>
                <w:u w:val="single"/>
              </w:rPr>
              <w:t>When developing the project, the Supplier (provided that the Supplier holds a valid design license in the Kyrgyz Republic)</w:t>
            </w:r>
            <w:r w:rsidRPr="00B422F0">
              <w:t xml:space="preserve"> must ensure the following:</w:t>
            </w:r>
          </w:p>
          <w:p w14:paraId="2750144C" w14:textId="77777777" w:rsidR="00B422F0" w:rsidRPr="00B422F0" w:rsidRDefault="00B422F0" w:rsidP="00CB033E">
            <w:pPr>
              <w:pStyle w:val="ae"/>
              <w:spacing w:before="0" w:beforeAutospacing="0" w:after="0" w:afterAutospacing="0" w:line="276" w:lineRule="auto"/>
            </w:pPr>
          </w:p>
          <w:p w14:paraId="46276C3E" w14:textId="77777777" w:rsidR="00B422F0" w:rsidRPr="00B422F0" w:rsidRDefault="00B422F0" w:rsidP="00CB033E">
            <w:pPr>
              <w:pStyle w:val="ae"/>
              <w:spacing w:before="0" w:beforeAutospacing="0" w:after="0" w:afterAutospacing="0" w:line="276" w:lineRule="auto"/>
            </w:pPr>
            <w:r w:rsidRPr="00B422F0">
              <w:t xml:space="preserve">• Verify the water supply line from the water treatment plant to </w:t>
            </w:r>
            <w:r w:rsidRPr="00B422F0">
              <w:lastRenderedPageBreak/>
              <w:t>the new blocks and the sanitary wastewater system through hydraulic calculations, taking into account existing engineering networks; if necessary, provide separate lines.</w:t>
            </w:r>
            <w:r w:rsidRPr="00B422F0">
              <w:br/>
              <w:t>• Provide for the connection of the new residential blocks to the existing utilities of the current mine camp.</w:t>
            </w:r>
            <w:r w:rsidRPr="00B422F0">
              <w:br/>
              <w:t>• Verify the fire water supply ring around the camp and the capacity of the fire pump station through hydraulic calculations. If necessary, consider installing a separate looped fire line from the fire pump station around the two new three-</w:t>
            </w:r>
            <w:proofErr w:type="spellStart"/>
            <w:r w:rsidRPr="00B422F0">
              <w:t>storey</w:t>
            </w:r>
            <w:proofErr w:type="spellEnd"/>
            <w:r w:rsidRPr="00B422F0">
              <w:t xml:space="preserve"> residential blocks.</w:t>
            </w:r>
            <w:r w:rsidRPr="00B422F0">
              <w:br/>
              <w:t>• Provide fire hydrants near the residential blocks. Also provide an internal fire water supply system with fire hose cabinets, ensuring that their placement does not obstruct evacuation routes.</w:t>
            </w:r>
            <w:r w:rsidRPr="00B422F0">
              <w:br/>
              <w:t>• Power supply is to be connected from the existing 3000 kVA substation via overhead cable lines.</w:t>
            </w:r>
            <w:r w:rsidRPr="00B422F0">
              <w:br/>
              <w:t xml:space="preserve">• Conduct a site visit by specialists to the </w:t>
            </w:r>
            <w:proofErr w:type="spellStart"/>
            <w:r w:rsidRPr="00B422F0">
              <w:t>Kumtor</w:t>
            </w:r>
            <w:proofErr w:type="spellEnd"/>
            <w:r w:rsidRPr="00B422F0">
              <w:t xml:space="preserve"> mine for collection of baseline information and necessary measurements. If necessary and upon the Client’s request, business trips to the Supplier’s production facilities (including foreign suppliers) may be required.</w:t>
            </w:r>
            <w:r w:rsidRPr="00B422F0">
              <w:br/>
              <w:t>• All technical decisions must be coordinated with the Client during the work process.</w:t>
            </w:r>
            <w:r w:rsidRPr="00B422F0">
              <w:br/>
              <w:t xml:space="preserve">• The Working Project must include the following sections: OPZ, GP, AR, AS, KM, </w:t>
            </w:r>
            <w:proofErr w:type="spellStart"/>
            <w:r w:rsidRPr="00B422F0">
              <w:t>KZh</w:t>
            </w:r>
            <w:proofErr w:type="spellEnd"/>
            <w:r w:rsidRPr="00B422F0">
              <w:t>, VK, NVK, OV, EL, EM, EO, ES, PS, PT, OOS, Bill of Quantities (</w:t>
            </w:r>
            <w:proofErr w:type="spellStart"/>
            <w:r w:rsidRPr="00B422F0">
              <w:t>BoQ</w:t>
            </w:r>
            <w:proofErr w:type="spellEnd"/>
            <w:r w:rsidRPr="00B422F0">
              <w:t>), and cost estimate documentation. Additional sections shall be included if required by the legislation of the Kyrgyz Republic.</w:t>
            </w:r>
            <w:r w:rsidRPr="00B422F0">
              <w:br/>
              <w:t>• During the initial stage of design, prepare the EP, GP and AR sections in sufficient volume for obtaining the Urban Planning Conclusion (GZ) and its approval.</w:t>
            </w:r>
            <w:r w:rsidRPr="00B422F0">
              <w:br/>
              <w:t>• Obtain the Urban Planning Conclusion jointly with the Client.</w:t>
            </w:r>
            <w:r w:rsidRPr="00B422F0">
              <w:br/>
              <w:t>• Jointly with the Client, coordinate the GP and AR design solutions.</w:t>
            </w:r>
            <w:r w:rsidRPr="00B422F0">
              <w:br/>
              <w:t>• Perform the Working Project in accordance with the Urban Planning Conclusion and current construction standards and regulations of the Kyrgyz Republic.</w:t>
            </w:r>
            <w:r w:rsidRPr="00B422F0">
              <w:br/>
              <w:t>• Prepare project documentation in a scope sufficient for state expert evaluations. Each project section must be issued as a separately bound volume. The Designer must introduce corrections to the project based on the Client’s comments prior to expert examination and approval.</w:t>
            </w:r>
            <w:r w:rsidRPr="00B422F0">
              <w:br/>
            </w:r>
            <w:r w:rsidRPr="00B422F0">
              <w:lastRenderedPageBreak/>
              <w:t>• Use modern and up-to-date materials and products in the project.</w:t>
            </w:r>
            <w:r w:rsidRPr="00B422F0">
              <w:br/>
              <w:t>• After approval of the project documentation by the Client, the Contractor, together with the Client, shall ensure passage of all expert reviews and approvals required by Kyrgyz legislation. The Contractor shall correct comments issued by the competent authorities free of charge and within the shortest possible time (not exceeding 5 working days). The cost of the state expertise review (</w:t>
            </w:r>
            <w:proofErr w:type="spellStart"/>
            <w:r w:rsidRPr="00B422F0">
              <w:t>Gosstroy</w:t>
            </w:r>
            <w:proofErr w:type="spellEnd"/>
            <w:r w:rsidRPr="00B422F0">
              <w:t>) shall be paid separately by the Client.</w:t>
            </w:r>
            <w:r w:rsidRPr="00B422F0">
              <w:br/>
              <w:t>• Perform author supervision during construction. The cost of author supervision must be included as a separate line item in the commercial proposal.</w:t>
            </w:r>
            <w:r w:rsidRPr="00B422F0">
              <w:br/>
              <w:t>• Prepare a schedule for author supervision.</w:t>
            </w:r>
            <w:r w:rsidRPr="00B422F0">
              <w:br/>
              <w:t>• Participate in the commissioning acceptance committee.</w:t>
            </w:r>
            <w:r w:rsidRPr="00B422F0">
              <w:br/>
              <w:t>• Provide the project documentation to the Client in 6 hard copy sets and on CD, with electronic files in Word, AutoCAD, and PDF format (bound by sections). Calculation results shall be provided in the calculation program format and in PDF. The Bill of Quantities and material specifications shall additionally be submitted in Excel format.</w:t>
            </w:r>
            <w:r w:rsidRPr="00B422F0">
              <w:br/>
              <w:t>• Introduce corrections into all copies of the project documentation following completion of state expert reviews.</w:t>
            </w:r>
            <w:r w:rsidRPr="00B422F0">
              <w:br/>
              <w:t>• Acceptance of the agreed and duly approved project documentation by the Client shall be formalized by a final act of acceptance of the completed work. The acceptance act shall reflect the volume of documentation transferred by the Design Organization and confirm that the work performed complies with the requirements of this Technical Specification and the Contract.</w:t>
            </w:r>
          </w:p>
          <w:p w14:paraId="71706F0C" w14:textId="77777777" w:rsidR="00B422F0" w:rsidRPr="00B422F0" w:rsidRDefault="00B422F0" w:rsidP="00CB033E">
            <w:pPr>
              <w:spacing w:after="0" w:line="276" w:lineRule="auto"/>
              <w:rPr>
                <w:rFonts w:ascii="Times New Roman" w:eastAsia="Times New Roman" w:hAnsi="Times New Roman" w:cs="Times New Roman"/>
                <w:bCs/>
                <w:i/>
                <w:u w:val="single"/>
                <w:lang w:eastAsia="ru-RU"/>
              </w:rPr>
            </w:pPr>
          </w:p>
          <w:p w14:paraId="0161081D" w14:textId="77777777" w:rsidR="00B422F0" w:rsidRPr="001456CB" w:rsidRDefault="00B422F0" w:rsidP="00CB033E">
            <w:pPr>
              <w:spacing w:after="0" w:line="276" w:lineRule="auto"/>
              <w:rPr>
                <w:rFonts w:ascii="Times New Roman" w:eastAsia="Times New Roman" w:hAnsi="Times New Roman" w:cs="Times New Roman"/>
                <w:i/>
                <w:u w:val="single"/>
                <w:lang w:eastAsia="ru-RU"/>
              </w:rPr>
            </w:pPr>
            <w:r w:rsidRPr="00B422F0">
              <w:rPr>
                <w:rFonts w:ascii="Times New Roman" w:eastAsia="Times New Roman" w:hAnsi="Times New Roman" w:cs="Times New Roman"/>
                <w:bCs/>
                <w:i/>
                <w:u w:val="single"/>
                <w:lang w:eastAsia="ru-RU"/>
              </w:rPr>
              <w:t>In case the project documentation is developed through the Client (if the Supplier does not possess a valid design license in the Kyrgyz Republic):</w:t>
            </w:r>
          </w:p>
          <w:p w14:paraId="0280F178" w14:textId="77777777" w:rsidR="00B422F0" w:rsidRPr="00B422F0" w:rsidRDefault="00B422F0" w:rsidP="00CB033E">
            <w:pPr>
              <w:spacing w:after="0" w:line="276" w:lineRule="auto"/>
              <w:rPr>
                <w:rFonts w:ascii="Times New Roman" w:eastAsia="Times New Roman" w:hAnsi="Times New Roman" w:cs="Times New Roman"/>
                <w:lang w:eastAsia="ru-RU"/>
              </w:rPr>
            </w:pPr>
          </w:p>
          <w:p w14:paraId="27BC2D29"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The Supplier of the residential modules selected by the Client shall develop the AR (Architectural Solutions) section based on the Client’s conceptual drawings.</w:t>
            </w:r>
            <w:r w:rsidRPr="001456CB">
              <w:rPr>
                <w:rFonts w:ascii="Times New Roman" w:eastAsia="Times New Roman" w:hAnsi="Times New Roman" w:cs="Times New Roman"/>
                <w:lang w:eastAsia="ru-RU"/>
              </w:rPr>
              <w:br/>
              <w:t>• The Client’s Design Organization must review and approve the Supplier’s AR section for compliance with the construction standards and regulations of the Kyrgyz Republic (</w:t>
            </w:r>
            <w:proofErr w:type="spellStart"/>
            <w:r w:rsidRPr="001456CB">
              <w:rPr>
                <w:rFonts w:ascii="Times New Roman" w:eastAsia="Times New Roman" w:hAnsi="Times New Roman" w:cs="Times New Roman"/>
                <w:lang w:eastAsia="ru-RU"/>
              </w:rPr>
              <w:t>SNiP</w:t>
            </w:r>
            <w:proofErr w:type="spellEnd"/>
            <w:r w:rsidRPr="001456CB">
              <w:rPr>
                <w:rFonts w:ascii="Times New Roman" w:eastAsia="Times New Roman" w:hAnsi="Times New Roman" w:cs="Times New Roman"/>
                <w:lang w:eastAsia="ru-RU"/>
              </w:rPr>
              <w:t xml:space="preserve"> KR).</w:t>
            </w:r>
            <w:r w:rsidRPr="001456CB">
              <w:rPr>
                <w:rFonts w:ascii="Times New Roman" w:eastAsia="Times New Roman" w:hAnsi="Times New Roman" w:cs="Times New Roman"/>
                <w:lang w:eastAsia="ru-RU"/>
              </w:rPr>
              <w:br/>
              <w:t xml:space="preserve">• Based on the approved AR section, the Supplier shall perform structural calculations and develop the KM section and other </w:t>
            </w:r>
            <w:r w:rsidRPr="001456CB">
              <w:rPr>
                <w:rFonts w:ascii="Times New Roman" w:eastAsia="Times New Roman" w:hAnsi="Times New Roman" w:cs="Times New Roman"/>
                <w:lang w:eastAsia="ru-RU"/>
              </w:rPr>
              <w:lastRenderedPageBreak/>
              <w:t>project sections (depending on the Supplier’s capabilities).</w:t>
            </w:r>
            <w:r w:rsidRPr="001456CB">
              <w:rPr>
                <w:rFonts w:ascii="Times New Roman" w:eastAsia="Times New Roman" w:hAnsi="Times New Roman" w:cs="Times New Roman"/>
                <w:lang w:eastAsia="ru-RU"/>
              </w:rPr>
              <w:br/>
              <w:t>• All necessary project sections prepared by the Supplier must be approved by the Client and the Client’s Design Organization, after which the Supplier has the right to begin manufacturing the residential modules.</w:t>
            </w:r>
            <w:r w:rsidRPr="001456CB">
              <w:rPr>
                <w:rFonts w:ascii="Times New Roman" w:eastAsia="Times New Roman" w:hAnsi="Times New Roman" w:cs="Times New Roman"/>
                <w:lang w:eastAsia="ru-RU"/>
              </w:rPr>
              <w:br/>
              <w:t xml:space="preserve">• The Client’s Design Organization must develop the remaining project sections (Working Project): OPZ, GP, AS, </w:t>
            </w:r>
            <w:proofErr w:type="spellStart"/>
            <w:r w:rsidRPr="001456CB">
              <w:rPr>
                <w:rFonts w:ascii="Times New Roman" w:eastAsia="Times New Roman" w:hAnsi="Times New Roman" w:cs="Times New Roman"/>
                <w:lang w:eastAsia="ru-RU"/>
              </w:rPr>
              <w:t>KZh</w:t>
            </w:r>
            <w:proofErr w:type="spellEnd"/>
            <w:r w:rsidRPr="001456CB">
              <w:rPr>
                <w:rFonts w:ascii="Times New Roman" w:eastAsia="Times New Roman" w:hAnsi="Times New Roman" w:cs="Times New Roman"/>
                <w:lang w:eastAsia="ru-RU"/>
              </w:rPr>
              <w:t>, VK, NVK, OV, EM, EO, ES, PS, PT, OOS, and other documentation if required by the legislation of the Kyrgyz Republic.</w:t>
            </w:r>
          </w:p>
          <w:p w14:paraId="791D5571" w14:textId="77777777" w:rsidR="00B422F0" w:rsidRPr="00B422F0" w:rsidRDefault="00B422F0" w:rsidP="00CB033E">
            <w:pPr>
              <w:spacing w:after="0" w:line="276" w:lineRule="auto"/>
              <w:outlineLvl w:val="2"/>
              <w:rPr>
                <w:rFonts w:ascii="Times New Roman" w:eastAsia="Times New Roman" w:hAnsi="Times New Roman" w:cs="Times New Roman"/>
                <w:b/>
                <w:bCs/>
                <w:lang w:eastAsia="ru-RU"/>
              </w:rPr>
            </w:pPr>
          </w:p>
          <w:p w14:paraId="7563D5E8" w14:textId="77777777" w:rsidR="00B422F0" w:rsidRPr="001456CB" w:rsidRDefault="00B422F0" w:rsidP="00CB033E">
            <w:pPr>
              <w:spacing w:after="0" w:line="276" w:lineRule="auto"/>
              <w:outlineLvl w:val="2"/>
              <w:rPr>
                <w:rFonts w:ascii="Times New Roman" w:eastAsia="Times New Roman" w:hAnsi="Times New Roman" w:cs="Times New Roman"/>
                <w:b/>
                <w:bCs/>
                <w:lang w:eastAsia="ru-RU"/>
              </w:rPr>
            </w:pPr>
            <w:r w:rsidRPr="00B422F0">
              <w:rPr>
                <w:rFonts w:ascii="Times New Roman" w:eastAsia="Times New Roman" w:hAnsi="Times New Roman" w:cs="Times New Roman"/>
                <w:b/>
                <w:bCs/>
                <w:lang w:eastAsia="ru-RU"/>
              </w:rPr>
              <w:t>III. Requirements for Manufacturing and Supply of Modules:</w:t>
            </w:r>
          </w:p>
          <w:p w14:paraId="1212257D" w14:textId="77777777" w:rsidR="00B422F0" w:rsidRPr="00B422F0" w:rsidRDefault="00B422F0" w:rsidP="00CB033E">
            <w:pPr>
              <w:spacing w:after="0" w:line="276" w:lineRule="auto"/>
              <w:rPr>
                <w:rFonts w:ascii="Times New Roman" w:eastAsia="Times New Roman" w:hAnsi="Times New Roman" w:cs="Times New Roman"/>
                <w:i/>
                <w:u w:val="single"/>
                <w:lang w:eastAsia="ru-RU"/>
              </w:rPr>
            </w:pPr>
          </w:p>
          <w:p w14:paraId="5D34D7CB" w14:textId="77777777" w:rsidR="00B422F0" w:rsidRPr="001456CB" w:rsidRDefault="00B422F0" w:rsidP="00CB033E">
            <w:pPr>
              <w:spacing w:after="0" w:line="276" w:lineRule="auto"/>
              <w:rPr>
                <w:rFonts w:ascii="Times New Roman" w:eastAsia="Times New Roman" w:hAnsi="Times New Roman" w:cs="Times New Roman"/>
                <w:i/>
                <w:u w:val="single"/>
                <w:lang w:eastAsia="ru-RU"/>
              </w:rPr>
            </w:pPr>
            <w:r w:rsidRPr="001456CB">
              <w:rPr>
                <w:rFonts w:ascii="Times New Roman" w:eastAsia="Times New Roman" w:hAnsi="Times New Roman" w:cs="Times New Roman"/>
                <w:i/>
                <w:u w:val="single"/>
                <w:lang w:eastAsia="ru-RU"/>
              </w:rPr>
              <w:t>Based on the Client’s assignment and in accordance with the applicable standards and regulations of the Kyrgyz Republic, the Supplier shall manufacture and supply prefabricated modular blocks for the construction of two three-</w:t>
            </w:r>
            <w:proofErr w:type="spellStart"/>
            <w:r w:rsidRPr="001456CB">
              <w:rPr>
                <w:rFonts w:ascii="Times New Roman" w:eastAsia="Times New Roman" w:hAnsi="Times New Roman" w:cs="Times New Roman"/>
                <w:i/>
                <w:u w:val="single"/>
                <w:lang w:eastAsia="ru-RU"/>
              </w:rPr>
              <w:t>storey</w:t>
            </w:r>
            <w:proofErr w:type="spellEnd"/>
            <w:r w:rsidRPr="001456CB">
              <w:rPr>
                <w:rFonts w:ascii="Times New Roman" w:eastAsia="Times New Roman" w:hAnsi="Times New Roman" w:cs="Times New Roman"/>
                <w:i/>
                <w:u w:val="single"/>
                <w:lang w:eastAsia="ru-RU"/>
              </w:rPr>
              <w:t xml:space="preserve"> residential buildings (with a total capacity of 600 beds).</w:t>
            </w:r>
          </w:p>
          <w:p w14:paraId="4F47671A"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modules for the 1st, 2nd, and 3rd floors (identical configuration) include:</w:t>
            </w:r>
          </w:p>
          <w:p w14:paraId="014B40E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with vestibule,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F061D23"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with vestibule (mirror version),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6898902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FDFBFBA"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(mirror version),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05CB10F3"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Intermediate residential module, external dimensions </w:t>
            </w:r>
            <w:r w:rsidRPr="001456CB">
              <w:rPr>
                <w:rFonts w:ascii="Times New Roman" w:eastAsia="Times New Roman" w:hAnsi="Times New Roman" w:cs="Times New Roman"/>
                <w:b/>
                <w:lang w:eastAsia="ru-RU"/>
              </w:rPr>
              <w:t>11.68×2.5×2.7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69 pcs</w:t>
            </w:r>
          </w:p>
          <w:p w14:paraId="5A55ED9A"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Intermediate residential module (mirror version, door swing direction difference), external dimensions </w:t>
            </w:r>
            <w:r w:rsidRPr="001456CB">
              <w:rPr>
                <w:rFonts w:ascii="Times New Roman" w:eastAsia="Times New Roman" w:hAnsi="Times New Roman" w:cs="Times New Roman"/>
                <w:b/>
                <w:lang w:eastAsia="ru-RU"/>
              </w:rPr>
              <w:t>11.68×2.5×2.7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69 pcs</w:t>
            </w:r>
          </w:p>
          <w:p w14:paraId="2D89170C"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Combined module with sanitary unit and shower, external dimensions </w:t>
            </w:r>
            <w:r w:rsidRPr="001456CB">
              <w:rPr>
                <w:rFonts w:ascii="Times New Roman" w:eastAsia="Times New Roman" w:hAnsi="Times New Roman" w:cs="Times New Roman"/>
                <w:b/>
                <w:lang w:eastAsia="ru-RU"/>
              </w:rPr>
              <w:t>11.68×5×2.7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7F45E2A0"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Combined module with sanitary unit and shower (mirror version), external dimensions </w:t>
            </w:r>
            <w:r w:rsidRPr="001456CB">
              <w:rPr>
                <w:rFonts w:ascii="Times New Roman" w:eastAsia="Times New Roman" w:hAnsi="Times New Roman" w:cs="Times New Roman"/>
                <w:b/>
                <w:lang w:eastAsia="ru-RU"/>
              </w:rPr>
              <w:t>11.68×5×2.7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71407F7"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laundry, external dimensions 11.68×2.5×2.7(h) m – </w:t>
            </w:r>
            <w:r w:rsidRPr="00B422F0">
              <w:rPr>
                <w:rFonts w:ascii="Times New Roman" w:eastAsia="Times New Roman" w:hAnsi="Times New Roman" w:cs="Times New Roman"/>
                <w:bCs/>
                <w:lang w:eastAsia="ru-RU"/>
              </w:rPr>
              <w:t>3 pcs</w:t>
            </w:r>
          </w:p>
          <w:p w14:paraId="16826187"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laundry (mirror version), external dimensions 11.68×2.5×2.7(h) m – </w:t>
            </w:r>
            <w:r w:rsidRPr="00B422F0">
              <w:rPr>
                <w:rFonts w:ascii="Times New Roman" w:eastAsia="Times New Roman" w:hAnsi="Times New Roman" w:cs="Times New Roman"/>
                <w:bCs/>
                <w:lang w:eastAsia="ru-RU"/>
              </w:rPr>
              <w:t>3 pcs</w:t>
            </w:r>
          </w:p>
          <w:p w14:paraId="22E446DF"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housekeeping room and cleaning supplies </w:t>
            </w:r>
            <w:r w:rsidRPr="001456CB">
              <w:rPr>
                <w:rFonts w:ascii="Times New Roman" w:eastAsia="Times New Roman" w:hAnsi="Times New Roman" w:cs="Times New Roman"/>
                <w:lang w:eastAsia="ru-RU"/>
              </w:rPr>
              <w:lastRenderedPageBreak/>
              <w:t xml:space="preserve">storage, external dimensions 11.68×2.5×2.7(h) m – </w:t>
            </w:r>
            <w:r w:rsidRPr="00B422F0">
              <w:rPr>
                <w:rFonts w:ascii="Times New Roman" w:eastAsia="Times New Roman" w:hAnsi="Times New Roman" w:cs="Times New Roman"/>
                <w:bCs/>
                <w:lang w:eastAsia="ru-RU"/>
              </w:rPr>
              <w:t>3 pcs</w:t>
            </w:r>
          </w:p>
          <w:p w14:paraId="2A7F8FC9"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housekeeping room and cleaning supplies storage (mirror version), external dimensions 11.68×2.5×2.7(h) m – </w:t>
            </w:r>
            <w:r w:rsidRPr="00B422F0">
              <w:rPr>
                <w:rFonts w:ascii="Times New Roman" w:eastAsia="Times New Roman" w:hAnsi="Times New Roman" w:cs="Times New Roman"/>
                <w:bCs/>
                <w:lang w:eastAsia="ru-RU"/>
              </w:rPr>
              <w:t>3 pcs</w:t>
            </w:r>
          </w:p>
          <w:p w14:paraId="7ABBE363"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staircase and vestibule, external dimensions 11.68×2.5×2.7(h) m – </w:t>
            </w:r>
            <w:r w:rsidRPr="00B422F0">
              <w:rPr>
                <w:rFonts w:ascii="Times New Roman" w:eastAsia="Times New Roman" w:hAnsi="Times New Roman" w:cs="Times New Roman"/>
                <w:bCs/>
                <w:lang w:eastAsia="ru-RU"/>
              </w:rPr>
              <w:t>3 pcs</w:t>
            </w:r>
          </w:p>
          <w:p w14:paraId="150F5736"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staircase and vestibule (mirror version), external dimensions 11.68×2.5×2.7(h) m – </w:t>
            </w:r>
            <w:r w:rsidRPr="00B422F0">
              <w:rPr>
                <w:rFonts w:ascii="Times New Roman" w:eastAsia="Times New Roman" w:hAnsi="Times New Roman" w:cs="Times New Roman"/>
                <w:bCs/>
                <w:lang w:eastAsia="ru-RU"/>
              </w:rPr>
              <w:t>3 pcs</w:t>
            </w:r>
          </w:p>
          <w:p w14:paraId="08916B0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coffee point, electrical distribution room, and server room, external dimensions 11.68×2.5×2.7(h) m – </w:t>
            </w:r>
            <w:r w:rsidRPr="00B422F0">
              <w:rPr>
                <w:rFonts w:ascii="Times New Roman" w:eastAsia="Times New Roman" w:hAnsi="Times New Roman" w:cs="Times New Roman"/>
                <w:bCs/>
                <w:lang w:eastAsia="ru-RU"/>
              </w:rPr>
              <w:t>3 pcs</w:t>
            </w:r>
          </w:p>
          <w:p w14:paraId="4DC42FD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coffee point, electrical distribution room, and server room (mirror version), external dimensions 11.68×2.5×2.7(h) m – </w:t>
            </w:r>
            <w:r w:rsidRPr="00B422F0">
              <w:rPr>
                <w:rFonts w:ascii="Times New Roman" w:eastAsia="Times New Roman" w:hAnsi="Times New Roman" w:cs="Times New Roman"/>
                <w:bCs/>
                <w:lang w:eastAsia="ru-RU"/>
              </w:rPr>
              <w:t>3 pcs</w:t>
            </w:r>
          </w:p>
          <w:p w14:paraId="7A6CBA80"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storage, external dimensions 11.68×2.5×2.7(h) m – </w:t>
            </w:r>
            <w:r w:rsidRPr="00B422F0">
              <w:rPr>
                <w:rFonts w:ascii="Times New Roman" w:eastAsia="Times New Roman" w:hAnsi="Times New Roman" w:cs="Times New Roman"/>
                <w:bCs/>
                <w:lang w:eastAsia="ru-RU"/>
              </w:rPr>
              <w:t>3 pcs</w:t>
            </w:r>
          </w:p>
          <w:p w14:paraId="383BA774"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storage (mirror version), external dimensions 11.68×2.5×2.7(h) m – </w:t>
            </w:r>
            <w:r w:rsidRPr="00B422F0">
              <w:rPr>
                <w:rFonts w:ascii="Times New Roman" w:eastAsia="Times New Roman" w:hAnsi="Times New Roman" w:cs="Times New Roman"/>
                <w:bCs/>
                <w:lang w:eastAsia="ru-RU"/>
              </w:rPr>
              <w:t>3 pcs</w:t>
            </w:r>
          </w:p>
          <w:p w14:paraId="6393D6A5"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Connection module between two blocks with stair landings and hall area, external dimensions </w:t>
            </w:r>
            <w:r w:rsidRPr="001456CB">
              <w:rPr>
                <w:rFonts w:ascii="Times New Roman" w:eastAsia="Times New Roman" w:hAnsi="Times New Roman" w:cs="Times New Roman"/>
                <w:b/>
                <w:lang w:eastAsia="ru-RU"/>
              </w:rPr>
              <w:t>11.68×10×2.7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99E590D"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Paired gallery connection modules, external dimensions </w:t>
            </w:r>
            <w:r w:rsidRPr="001456CB">
              <w:rPr>
                <w:rFonts w:ascii="Times New Roman" w:eastAsia="Times New Roman" w:hAnsi="Times New Roman" w:cs="Times New Roman"/>
                <w:b/>
                <w:lang w:eastAsia="ru-RU"/>
              </w:rPr>
              <w:t>11.5×5.18×2.7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7 pcs</w:t>
            </w:r>
          </w:p>
          <w:p w14:paraId="0ACB0AC9" w14:textId="77777777" w:rsidR="00B422F0" w:rsidRPr="00B422F0" w:rsidRDefault="00B422F0" w:rsidP="00CB033E">
            <w:pPr>
              <w:spacing w:after="0" w:line="276" w:lineRule="auto"/>
              <w:rPr>
                <w:rFonts w:ascii="Times New Roman" w:eastAsia="Times New Roman" w:hAnsi="Times New Roman" w:cs="Times New Roman"/>
                <w:lang w:eastAsia="ru-RU"/>
              </w:rPr>
            </w:pPr>
          </w:p>
          <w:p w14:paraId="2A698A4D"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Accommodation in the residential rooms shall be two-person per room.</w:t>
            </w:r>
          </w:p>
          <w:p w14:paraId="2DEB782D"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modular structures must comply with the following requirements:</w:t>
            </w:r>
          </w:p>
          <w:p w14:paraId="3D6E25C6"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Strength, rigidity, and stability sufficient for the construction of a three-</w:t>
            </w:r>
            <w:proofErr w:type="spellStart"/>
            <w:r w:rsidRPr="001456CB">
              <w:rPr>
                <w:rFonts w:ascii="Times New Roman" w:eastAsia="Times New Roman" w:hAnsi="Times New Roman" w:cs="Times New Roman"/>
                <w:lang w:eastAsia="ru-RU"/>
              </w:rPr>
              <w:t>storey</w:t>
            </w:r>
            <w:proofErr w:type="spellEnd"/>
            <w:r w:rsidRPr="001456CB">
              <w:rPr>
                <w:rFonts w:ascii="Times New Roman" w:eastAsia="Times New Roman" w:hAnsi="Times New Roman" w:cs="Times New Roman"/>
                <w:lang w:eastAsia="ru-RU"/>
              </w:rPr>
              <w:t xml:space="preserve"> residential building intended for rotational (shift-based) personnel at the </w:t>
            </w:r>
            <w:proofErr w:type="spellStart"/>
            <w:r w:rsidRPr="001456CB">
              <w:rPr>
                <w:rFonts w:ascii="Times New Roman" w:eastAsia="Times New Roman" w:hAnsi="Times New Roman" w:cs="Times New Roman"/>
                <w:lang w:eastAsia="ru-RU"/>
              </w:rPr>
              <w:t>Kumtor</w:t>
            </w:r>
            <w:proofErr w:type="spellEnd"/>
            <w:r w:rsidRPr="001456CB">
              <w:rPr>
                <w:rFonts w:ascii="Times New Roman" w:eastAsia="Times New Roman" w:hAnsi="Times New Roman" w:cs="Times New Roman"/>
                <w:lang w:eastAsia="ru-RU"/>
              </w:rPr>
              <w:t xml:space="preserve"> mine;</w:t>
            </w:r>
          </w:p>
          <w:p w14:paraId="45ABE516"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Thermal performance calculations taking into account the climatic conditions of the area;</w:t>
            </w:r>
          </w:p>
          <w:p w14:paraId="6E8053C2"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Materials used in manufacturing must comply with fire safety requirements;</w:t>
            </w:r>
          </w:p>
          <w:p w14:paraId="4C1A205A"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The heating, ventilation, and indoor climate control system must be designed in accordance with current construction norms and regulations, ensure standard parameters of temperature, humidity, and air exchange, take into account climatic, acoustic, and fire protection requirements, as well as integration with the building’s </w:t>
            </w:r>
            <w:r w:rsidRPr="001456CB">
              <w:rPr>
                <w:rFonts w:ascii="Times New Roman" w:eastAsia="Times New Roman" w:hAnsi="Times New Roman" w:cs="Times New Roman"/>
                <w:lang w:eastAsia="ru-RU"/>
              </w:rPr>
              <w:lastRenderedPageBreak/>
              <w:t>engineering systems;</w:t>
            </w:r>
          </w:p>
          <w:p w14:paraId="215805AC"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Delivery of the modules must be organized considering the logistics routes and timelines specified in the contract, with delivery to the site fully equipped and ready for installation;</w:t>
            </w:r>
          </w:p>
          <w:p w14:paraId="48DE5D51"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contractor is responsible for the preservation and integrity of the residential modules and components during transportation and, in the event of defects discovered at the unloading site, must replace them as soon as possible at its own expense;</w:t>
            </w:r>
          </w:p>
          <w:p w14:paraId="15AED15B"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contractor must have all required licenses and permits for performing the manufacturing works;</w:t>
            </w:r>
          </w:p>
          <w:p w14:paraId="6EA25D3B"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Quality certificates valid in the Kyrgyz Republic must be provided for all materials used;</w:t>
            </w:r>
          </w:p>
          <w:p w14:paraId="65DFA415"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contractor shall provide calculations (according to the general work description requirements) and the modular block design for approval by the Client prior to manufacturing. The contractor shall coordinate the materials and equipment used with the Client;</w:t>
            </w:r>
          </w:p>
          <w:p w14:paraId="4FA69903"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All necessary materials and equipment for manufacturing shall be provided by the contractor;</w:t>
            </w:r>
          </w:p>
          <w:p w14:paraId="4548EAB2"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Work execution duration shall be in accordance with the terms of the Contract.</w:t>
            </w:r>
          </w:p>
          <w:p w14:paraId="19608A01" w14:textId="77777777" w:rsidR="00B422F0" w:rsidRPr="00B422F0" w:rsidRDefault="00B422F0" w:rsidP="00CB033E">
            <w:pPr>
              <w:pStyle w:val="ae"/>
              <w:spacing w:before="0" w:beforeAutospacing="0" w:after="0" w:afterAutospacing="0" w:line="276" w:lineRule="auto"/>
              <w:rPr>
                <w:rStyle w:val="af"/>
                <w:rFonts w:eastAsiaTheme="majorEastAsia"/>
              </w:rPr>
            </w:pPr>
          </w:p>
          <w:p w14:paraId="279B0BF3" w14:textId="77777777" w:rsidR="00B422F0" w:rsidRPr="00B422F0" w:rsidRDefault="00B422F0" w:rsidP="00CB033E">
            <w:pPr>
              <w:pStyle w:val="ae"/>
              <w:spacing w:before="0" w:beforeAutospacing="0" w:after="0" w:afterAutospacing="0" w:line="276" w:lineRule="auto"/>
            </w:pPr>
            <w:r w:rsidRPr="00B422F0">
              <w:rPr>
                <w:rStyle w:val="af"/>
                <w:rFonts w:eastAsiaTheme="majorEastAsia"/>
              </w:rPr>
              <w:t>IV. Requirements for the Performance of Construction and Installation Works (CIW):</w:t>
            </w:r>
          </w:p>
          <w:p w14:paraId="02263CFA" w14:textId="77777777" w:rsidR="00B422F0" w:rsidRPr="00B422F0" w:rsidRDefault="00B422F0" w:rsidP="00CB033E">
            <w:pPr>
              <w:pStyle w:val="ae"/>
              <w:spacing w:before="0" w:beforeAutospacing="0" w:after="0" w:afterAutospacing="0" w:line="276" w:lineRule="auto"/>
            </w:pPr>
          </w:p>
          <w:p w14:paraId="0FFDF22E" w14:textId="77777777" w:rsidR="00B422F0" w:rsidRPr="00B422F0" w:rsidRDefault="00B422F0" w:rsidP="00CB033E">
            <w:pPr>
              <w:pStyle w:val="ae"/>
              <w:spacing w:before="0" w:beforeAutospacing="0" w:after="0" w:afterAutospacing="0" w:line="276" w:lineRule="auto"/>
            </w:pPr>
            <w:r w:rsidRPr="00B422F0">
              <w:t>• The manufacturer of the residential blocks has the right to engage a subcontracting organization holding the appropriate license.</w:t>
            </w:r>
            <w:r w:rsidRPr="00B422F0">
              <w:br/>
              <w:t>• Installation works must be carried out by a specialized organization with the required license, upon construction readiness, and strictly in accordance with the applicable installation norms and regulations.</w:t>
            </w:r>
            <w:r w:rsidRPr="00B422F0">
              <w:br/>
              <w:t xml:space="preserve">• Commissioning and adjustment works shall begin only after the implementation of safety measures in accordance with </w:t>
            </w:r>
            <w:proofErr w:type="spellStart"/>
            <w:r w:rsidRPr="00B422F0">
              <w:t>SNiP</w:t>
            </w:r>
            <w:proofErr w:type="spellEnd"/>
            <w:r w:rsidRPr="00B422F0">
              <w:t xml:space="preserve"> and the signing of the incoming inspection report.</w:t>
            </w:r>
            <w:r w:rsidRPr="00B422F0">
              <w:br/>
              <w:t>• When using power tools, compliance with GOST requirements must be ensured.</w:t>
            </w:r>
            <w:r w:rsidRPr="00B422F0">
              <w:br/>
              <w:t xml:space="preserve">• Provide a work execution plan and construction schedule with indication of personnel numbers per day; coordinate with the Client and maintain working and as-built documentation in </w:t>
            </w:r>
            <w:r w:rsidRPr="00B422F0">
              <w:lastRenderedPageBreak/>
              <w:t xml:space="preserve">accordance with </w:t>
            </w:r>
            <w:proofErr w:type="spellStart"/>
            <w:r w:rsidRPr="00B422F0">
              <w:t>SNiP</w:t>
            </w:r>
            <w:proofErr w:type="spellEnd"/>
            <w:r w:rsidRPr="00B422F0">
              <w:t xml:space="preserve"> of the Kyrgyz Republic.</w:t>
            </w:r>
            <w:r w:rsidRPr="00B422F0">
              <w:br/>
              <w:t>• The Contractor must possess all necessary licenses and permits required to perform the construction works.</w:t>
            </w:r>
            <w:r w:rsidRPr="00B422F0">
              <w:br/>
              <w:t>• All construction works specified in this Technical Specification must be performed by organizations with relevant experience executing construction and installation works similar in volume, purpose, and type of structures to the subject of the tender (to be confirmed by supporting documents).</w:t>
            </w:r>
            <w:r w:rsidRPr="00B422F0">
              <w:br/>
              <w:t>• The Contractor must have at least three years of experience in construction and installation works.</w:t>
            </w:r>
            <w:r w:rsidRPr="00B422F0">
              <w:br/>
              <w:t>• The Contractor must have experience in implementing at least two projects similar in volume and type of structures to the project subject to this tender.</w:t>
            </w:r>
            <w:r w:rsidRPr="00B422F0">
              <w:br/>
              <w:t>• A certified project manager (site manager, foreman) with at least five years of construction experience and implementation of at least two similar projects must be available.</w:t>
            </w:r>
            <w:r w:rsidRPr="00B422F0">
              <w:br/>
              <w:t>• Certified welders holding valid certificates authorizing welding operations must be available.</w:t>
            </w:r>
            <w:r w:rsidRPr="00B422F0">
              <w:br/>
              <w:t>• A surveyor must be available to ensure execution of construction and installation works in accordance with project documentation.</w:t>
            </w:r>
            <w:r w:rsidRPr="00B422F0">
              <w:br/>
              <w:t>• The Contractor must have the necessary material and technical base to perform the works specified in this Technical Specification.</w:t>
            </w:r>
            <w:r w:rsidRPr="00B422F0">
              <w:br/>
              <w:t>• The Contractor’s engineering and technical personnel performing the works shall be provided with passenger transport at the Contractor’s expense for the entire construction period.</w:t>
            </w:r>
            <w:r w:rsidRPr="00B422F0">
              <w:br/>
              <w:t>• Transportation of Contractor personnel to the “</w:t>
            </w:r>
            <w:proofErr w:type="spellStart"/>
            <w:r w:rsidRPr="00B422F0">
              <w:t>Volna</w:t>
            </w:r>
            <w:proofErr w:type="spellEnd"/>
            <w:r w:rsidRPr="00B422F0">
              <w:t xml:space="preserve">” transfer base in </w:t>
            </w:r>
            <w:proofErr w:type="spellStart"/>
            <w:r w:rsidRPr="00B422F0">
              <w:t>Barskoon</w:t>
            </w:r>
            <w:proofErr w:type="spellEnd"/>
            <w:r w:rsidRPr="00B422F0">
              <w:t xml:space="preserve"> village shall be carried out at the Contractor’s expense. Transportation of personnel between </w:t>
            </w:r>
            <w:proofErr w:type="spellStart"/>
            <w:r w:rsidRPr="00B422F0">
              <w:t>Volna</w:t>
            </w:r>
            <w:proofErr w:type="spellEnd"/>
            <w:r w:rsidRPr="00B422F0">
              <w:t>–Mine–</w:t>
            </w:r>
            <w:proofErr w:type="spellStart"/>
            <w:r w:rsidRPr="00B422F0">
              <w:t>Volna</w:t>
            </w:r>
            <w:proofErr w:type="spellEnd"/>
            <w:r w:rsidRPr="00B422F0">
              <w:t xml:space="preserve"> shall be provided at the Client’s expense.</w:t>
            </w:r>
            <w:r w:rsidRPr="00B422F0">
              <w:br/>
              <w:t>• Personal protective equipment for the Contractor’s personnel shall be provided at the Contractor’s expense.</w:t>
            </w:r>
            <w:r w:rsidRPr="00B422F0">
              <w:br/>
              <w:t>• Fuel supply for the Contractor’s transport during CIW shall be provided by the Client and paid for by the Contractor.</w:t>
            </w:r>
            <w:r w:rsidRPr="00B422F0">
              <w:br/>
              <w:t>• All construction materials required for the project shall be provided by the Contractor.</w:t>
            </w:r>
            <w:r w:rsidRPr="00B422F0">
              <w:br/>
              <w:t>• All construction machinery shall be provided by the Contractor, except for earthmoving machinery. Earthworks will be performed by the Client.</w:t>
            </w:r>
            <w:r w:rsidRPr="00B422F0">
              <w:br/>
              <w:t>• Transportation of construction materials and structures to the construction site shall be carried out by the Contractor.</w:t>
            </w:r>
            <w:r w:rsidRPr="00B422F0">
              <w:br/>
            </w:r>
            <w:r w:rsidRPr="00B422F0">
              <w:lastRenderedPageBreak/>
              <w:t>• Consumables (electrodes, cutting and grinding discs, etc.) shall be supplied by the Contractor.</w:t>
            </w:r>
            <w:r w:rsidRPr="00B422F0">
              <w:br/>
              <w:t>• Compressed gases in cylinders (oxygen and propane) required for construction works shall be supplied by the Client.</w:t>
            </w:r>
            <w:r w:rsidRPr="00B422F0">
              <w:br/>
              <w:t>• The Contractor shall provide the necessary equipment and tools required for construction works (welding machines, compressors, etc.).</w:t>
            </w:r>
            <w:r w:rsidRPr="00B422F0">
              <w:br/>
              <w:t>• Industrial and fire safety rules on the Client's territory must be observed in accordance with the company’s policies.</w:t>
            </w:r>
            <w:r w:rsidRPr="00B422F0">
              <w:br/>
              <w:t>• Upon completion of works, the Contractor shall provide the Client with photographs taken before, during, and after construction; work execution logs; concealed works inspection acts; as-built survey records; certificates of completed works; and all other required as-built documentation.</w:t>
            </w:r>
          </w:p>
          <w:p w14:paraId="1C407A66" w14:textId="77777777" w:rsidR="00B422F0" w:rsidRPr="00B422F0" w:rsidRDefault="00B422F0" w:rsidP="00CB033E">
            <w:pPr>
              <w:pStyle w:val="ae"/>
              <w:spacing w:before="0" w:beforeAutospacing="0" w:after="0" w:afterAutospacing="0" w:line="276" w:lineRule="auto"/>
            </w:pPr>
            <w:r w:rsidRPr="00B422F0">
              <w:t>• The cost estimate must be calculated based on the Working Project. The quantities of materials specified in the Working Project specifications must be rechecked and, if necessary, coordinated with the Client.</w:t>
            </w:r>
            <w:r w:rsidRPr="00B422F0">
              <w:br/>
              <w:t>• The cost estimate must be calculated in accordance with KRER-2015, taking into account indexation and the conditions of the work site (</w:t>
            </w:r>
            <w:proofErr w:type="spellStart"/>
            <w:r w:rsidRPr="00B422F0">
              <w:t>Gosstroy</w:t>
            </w:r>
            <w:proofErr w:type="spellEnd"/>
            <w:r w:rsidRPr="00B422F0">
              <w:t xml:space="preserve"> pricing) currently in effect in the Kyrgyz Republic, or according to market prices.</w:t>
            </w:r>
            <w:r w:rsidRPr="00B422F0">
              <w:br/>
              <w:t>• Unaccounted work volumes are not grounds for refusal to perform the work.</w:t>
            </w:r>
            <w:r w:rsidRPr="00B422F0">
              <w:br/>
              <w:t>• The cost estimate provided by the Contractor does not constitute a complete description of all construction and installation work; the scope of work and the list of materials are determined by the issued project sections and the actual conditions on site.</w:t>
            </w:r>
            <w:r w:rsidRPr="00B422F0">
              <w:br/>
              <w:t>• Any increase in the cost of work and materials must be agreed upon by the Contractor with the Client in writing.</w:t>
            </w:r>
            <w:r w:rsidRPr="00B422F0">
              <w:br/>
              <w:t>• The Contractor shall not perform any work requiring additional payment without obtaining the Client’s prior written consent.</w:t>
            </w:r>
            <w:r w:rsidRPr="00B422F0">
              <w:br/>
              <w:t>• The Contractor shall provide an itemized cost estimate for each work volume line item. The Client reserves the right to exclude certain work volume items before or after the Contract is signed if such work has been performed by the Client at the Client’s own expense.</w:t>
            </w:r>
            <w:r w:rsidRPr="00B422F0">
              <w:br/>
              <w:t xml:space="preserve">• During the course of the work, the Contractor shall properly maintain all as-built documentation: work execution logs, concealed works inspection acts with photographs, intermediate </w:t>
            </w:r>
            <w:r w:rsidRPr="00B422F0">
              <w:lastRenderedPageBreak/>
              <w:t>acceptance certificates, work permits, hot work permits, laboratory tests of reinforced concrete and metal structures, etc.</w:t>
            </w:r>
            <w:r w:rsidRPr="00B422F0">
              <w:br/>
              <w:t>• The construction and installation work schedule shall be developed by the Contractor in coordination with the Client and shall be an integral part of the Contract. Any deviation from the agreed schedule is not permitted without prior written notification from the Contractor to the Client at least seven (7) working days before the planned schedule change and without written approval from the Client.</w:t>
            </w:r>
            <w:r w:rsidRPr="00B422F0">
              <w:br/>
              <w:t>• In the event of unjustified deviation from the schedule, the cost of accommodation and meals for the Contractor’s personnel shall be deducted from the work completion certificate on a non-acceptance basis.</w:t>
            </w:r>
            <w:r w:rsidRPr="00B422F0">
              <w:br/>
              <w:t xml:space="preserve">• The technology and quality of the work performed must comply with applicable state standards, construction, fire safety, and sanitary regulations (GOST, </w:t>
            </w:r>
            <w:proofErr w:type="spellStart"/>
            <w:r w:rsidRPr="00B422F0">
              <w:t>SNiP</w:t>
            </w:r>
            <w:proofErr w:type="spellEnd"/>
            <w:r w:rsidRPr="00B422F0">
              <w:t xml:space="preserve">, </w:t>
            </w:r>
            <w:proofErr w:type="spellStart"/>
            <w:r w:rsidRPr="00B422F0">
              <w:t>SanPiN</w:t>
            </w:r>
            <w:proofErr w:type="spellEnd"/>
            <w:r w:rsidRPr="00B422F0">
              <w:t>) established for these types of work.</w:t>
            </w:r>
            <w:r w:rsidRPr="00B422F0">
              <w:br/>
              <w:t>• During contract execution, the Contractor must ensure proper quality control of the work performed.</w:t>
            </w:r>
            <w:r w:rsidRPr="00B422F0">
              <w:br/>
              <w:t>• During acceptance control, concealed works are subject to inspection with attached photographic documentation. Performance of subsequent work is prohibited without documented inspection and acceptance of preceding concealed works; otherwise, the Client has the right to require the Contractor to open any section of the work and restore it at the Contractor’s expense.</w:t>
            </w:r>
          </w:p>
          <w:p w14:paraId="70A4618F" w14:textId="77777777" w:rsidR="00B422F0" w:rsidRPr="00B422F0" w:rsidRDefault="00B422F0" w:rsidP="00CB033E">
            <w:pPr>
              <w:pStyle w:val="ae"/>
              <w:spacing w:before="0" w:beforeAutospacing="0" w:after="0" w:afterAutospacing="0" w:line="276" w:lineRule="auto"/>
            </w:pPr>
            <w:r w:rsidRPr="00B422F0">
              <w:t>• The Contractor must carry out work within the designated work area. Temporary storage of materials and equipment shall be performed only if the Contractor organizes designated storage areas equipped with fire extinguishing means. Within three working shifts after completion of the work, the Contractor must clear the work area, dismantle temporary fencing, and remove waste in accordance with the regulations established by “KGC” CJSC.</w:t>
            </w:r>
          </w:p>
          <w:p w14:paraId="6D3FA83A" w14:textId="77777777" w:rsidR="00B422F0" w:rsidRPr="00B422F0" w:rsidRDefault="00B422F0" w:rsidP="00CB033E">
            <w:pPr>
              <w:pStyle w:val="ae"/>
              <w:spacing w:before="0" w:beforeAutospacing="0" w:after="0" w:afterAutospacing="0" w:line="276" w:lineRule="auto"/>
            </w:pPr>
            <w:r w:rsidRPr="00B422F0">
              <w:t>The Contractor shall be responsible for:</w:t>
            </w:r>
            <w:r w:rsidRPr="00B422F0">
              <w:br/>
              <w:t>• Completing the work within the deadlines specified in the Contract;</w:t>
            </w:r>
            <w:r w:rsidRPr="00B422F0">
              <w:br/>
              <w:t xml:space="preserve">    - The proper quality of the work performed;</w:t>
            </w:r>
            <w:r w:rsidRPr="00B422F0">
              <w:br/>
              <w:t xml:space="preserve">    - Compliance with the production technology during the performance of the work;</w:t>
            </w:r>
            <w:r w:rsidRPr="00B422F0">
              <w:br/>
              <w:t xml:space="preserve">    - Conducting individual testing of installed structures (if required);</w:t>
            </w:r>
            <w:r w:rsidRPr="00B422F0">
              <w:br/>
            </w:r>
            <w:r w:rsidRPr="00B422F0">
              <w:lastRenderedPageBreak/>
              <w:t xml:space="preserve">    - Timely correction of deficiencies (defects) identified during acceptance or within the warranty period (the correction period must not exceed three working days).</w:t>
            </w:r>
          </w:p>
          <w:p w14:paraId="3E25ADE2" w14:textId="77777777" w:rsidR="00B422F0" w:rsidRPr="00B422F0" w:rsidRDefault="00B422F0" w:rsidP="00CB033E">
            <w:pPr>
              <w:pStyle w:val="ae"/>
              <w:spacing w:before="0" w:beforeAutospacing="0" w:after="0" w:afterAutospacing="0" w:line="276" w:lineRule="auto"/>
            </w:pPr>
            <w:r w:rsidRPr="00B422F0">
              <w:t>• If materials, equipment, and tools are transferred to the Contractor by the Client, the Contractor shall be responsible for the safekeeping of all construction materials, equipment, and tools transferred under the Acceptance Certificate, until completion of the work and signing of the Work Completion Certificate.</w:t>
            </w:r>
          </w:p>
          <w:p w14:paraId="468C97D5" w14:textId="77777777" w:rsidR="00B422F0" w:rsidRPr="00B422F0" w:rsidRDefault="00B422F0" w:rsidP="00CB033E">
            <w:pPr>
              <w:pStyle w:val="ae"/>
              <w:spacing w:before="0" w:beforeAutospacing="0" w:after="0" w:afterAutospacing="0" w:line="276" w:lineRule="auto"/>
            </w:pPr>
            <w:r w:rsidRPr="00B422F0">
              <w:t>• In the event of damage to existing structural elements, interior finishes, or engineering systems caused by the Contractor’s work, all restoration work shall be carried out by the Contractor at its own expense and within the shortest possible time.</w:t>
            </w:r>
          </w:p>
          <w:p w14:paraId="1AA9B354" w14:textId="77777777" w:rsidR="00B422F0" w:rsidRPr="00B422F0" w:rsidRDefault="00B422F0" w:rsidP="00CB033E">
            <w:pPr>
              <w:pStyle w:val="ae"/>
              <w:spacing w:before="0" w:beforeAutospacing="0" w:after="0" w:afterAutospacing="0" w:line="276" w:lineRule="auto"/>
            </w:pPr>
            <w:r w:rsidRPr="00B422F0">
              <w:t>• The warranty period for the quality of the completed work under the Contract must be at least 12 months. The warranty period for the components and materials used shall be in accordance with the manufacturer’s warranty documentation. The warranty period shall commence on the date the commissioning certificate is signed.</w:t>
            </w:r>
          </w:p>
          <w:p w14:paraId="7B515509" w14:textId="77777777" w:rsidR="00B422F0" w:rsidRPr="00B422F0" w:rsidRDefault="00B422F0" w:rsidP="00CB033E">
            <w:pPr>
              <w:pStyle w:val="ae"/>
              <w:spacing w:before="0" w:beforeAutospacing="0" w:after="0" w:afterAutospacing="0" w:line="276" w:lineRule="auto"/>
            </w:pPr>
            <w:r w:rsidRPr="00B422F0">
              <w:t>• The Client reserves the right to perform technological or other types of control over the progress of construction and installation works at all stages and to involve additional resources at its own expense to ensure timely and high-quality completion of construction under this Technical Specification, with subsequent deduction of the cost of work performed by the Client from the Contractor’s scope of work under this Technical Specification.</w:t>
            </w:r>
          </w:p>
          <w:p w14:paraId="13A8A2B9" w14:textId="7A382AF5" w:rsidR="00B422F0" w:rsidRPr="00B422F0" w:rsidRDefault="00B422F0" w:rsidP="00CB033E">
            <w:pPr>
              <w:spacing w:after="0" w:line="276" w:lineRule="auto"/>
              <w:contextualSpacing/>
              <w:rPr>
                <w:rFonts w:ascii="Times New Roman" w:hAnsi="Times New Roman" w:cs="Times New Roman"/>
              </w:rPr>
            </w:pPr>
            <w:r w:rsidRPr="00B422F0">
              <w:rPr>
                <w:rFonts w:ascii="Times New Roman" w:hAnsi="Times New Roman" w:cs="Times New Roman"/>
              </w:rPr>
              <w:t>• Additional work required during the construction process shall be reviewed based on the executed work certificates and formalized by an additional agreement.</w:t>
            </w:r>
          </w:p>
        </w:tc>
      </w:tr>
      <w:tr w:rsidR="008451C4" w:rsidRPr="000D3654" w14:paraId="16B7474B" w14:textId="77777777" w:rsidTr="008451C4">
        <w:tblPrEx>
          <w:tblLook w:val="0000" w:firstRow="0" w:lastRow="0" w:firstColumn="0" w:lastColumn="0" w:noHBand="0" w:noVBand="0"/>
        </w:tblPrEx>
        <w:trPr>
          <w:trHeight w:val="1340"/>
        </w:trPr>
        <w:tc>
          <w:tcPr>
            <w:tcW w:w="351" w:type="pct"/>
          </w:tcPr>
          <w:p w14:paraId="467AB243" w14:textId="7AED140C" w:rsidR="008451C4" w:rsidRPr="00B422F0" w:rsidRDefault="008451C4" w:rsidP="00CB033E">
            <w:pPr>
              <w:spacing w:line="276" w:lineRule="auto"/>
              <w:contextualSpacing/>
              <w:rPr>
                <w:rFonts w:ascii="Times New Roman" w:hAnsi="Times New Roman" w:cs="Times New Roman"/>
              </w:rPr>
            </w:pPr>
            <w:r w:rsidRPr="00B422F0">
              <w:rPr>
                <w:rFonts w:ascii="Times New Roman" w:eastAsia="Times New Roman" w:hAnsi="Times New Roman" w:cs="Times New Roman"/>
                <w:lang w:eastAsia="ru-RU"/>
              </w:rPr>
              <w:lastRenderedPageBreak/>
              <w:t>6</w:t>
            </w:r>
          </w:p>
        </w:tc>
        <w:tc>
          <w:tcPr>
            <w:tcW w:w="1404" w:type="pct"/>
          </w:tcPr>
          <w:p w14:paraId="6C15955F" w14:textId="167FFAD8" w:rsidR="008451C4" w:rsidRPr="00B422F0" w:rsidRDefault="008451C4" w:rsidP="00CB033E">
            <w:pPr>
              <w:spacing w:line="276" w:lineRule="auto"/>
              <w:contextualSpacing/>
              <w:rPr>
                <w:rFonts w:ascii="Times New Roman" w:hAnsi="Times New Roman" w:cs="Times New Roman"/>
              </w:rPr>
            </w:pPr>
            <w:r w:rsidRPr="00B422F0">
              <w:rPr>
                <w:rFonts w:ascii="Times New Roman" w:hAnsi="Times New Roman" w:cs="Times New Roman"/>
              </w:rPr>
              <w:t>Additional requirements for prefabricated modular units</w:t>
            </w:r>
          </w:p>
        </w:tc>
        <w:tc>
          <w:tcPr>
            <w:tcW w:w="3245" w:type="pct"/>
          </w:tcPr>
          <w:p w14:paraId="6AC26AFA" w14:textId="77777777" w:rsidR="008451C4" w:rsidRDefault="008451C4" w:rsidP="00CB033E">
            <w:pPr>
              <w:pStyle w:val="ae"/>
              <w:spacing w:before="0" w:beforeAutospacing="0" w:after="0" w:afterAutospacing="0" w:line="276" w:lineRule="auto"/>
              <w:rPr>
                <w:i/>
                <w:u w:val="single"/>
              </w:rPr>
            </w:pPr>
            <w:r w:rsidRPr="00123700">
              <w:rPr>
                <w:i/>
                <w:u w:val="single"/>
              </w:rPr>
              <w:t>Prefabricated modular blocks shall be manufactured in accordance with the following requirements:</w:t>
            </w:r>
          </w:p>
          <w:p w14:paraId="3F8EF294" w14:textId="77777777" w:rsidR="008451C4" w:rsidRPr="00123700" w:rsidRDefault="008451C4" w:rsidP="00CB033E">
            <w:pPr>
              <w:pStyle w:val="ae"/>
              <w:spacing w:before="0" w:beforeAutospacing="0" w:after="0" w:afterAutospacing="0" w:line="276" w:lineRule="auto"/>
              <w:rPr>
                <w:i/>
                <w:u w:val="single"/>
              </w:rPr>
            </w:pPr>
          </w:p>
          <w:p w14:paraId="69FCF7F9" w14:textId="77777777" w:rsidR="008451C4" w:rsidRPr="001456CB" w:rsidRDefault="008451C4" w:rsidP="00CB033E">
            <w:pPr>
              <w:pStyle w:val="ae"/>
              <w:spacing w:before="0" w:beforeAutospacing="0" w:after="0" w:afterAutospacing="0" w:line="276" w:lineRule="auto"/>
            </w:pPr>
            <w:r w:rsidRPr="001456CB">
              <w:t>• The dimensions of the modular block shall be 11.68×2.5×2.7 m. The width of modules in positions No. 1, 2, 3, 4, 7, 8, and 19 differs, and both the length and width of position No. 20 also differ. The area and parameters of residential rooms must be not less than those indicated in the schematic layout.</w:t>
            </w:r>
            <w:r w:rsidRPr="001456CB">
              <w:br/>
              <w:t>• Wall insulation shall consist of non-combustible mineral wool boards with interior finishing materials installed over a batten frame.</w:t>
            </w:r>
            <w:r w:rsidRPr="001456CB">
              <w:br/>
              <w:t xml:space="preserve">• On the roof of the third floor, provide a single-pitched roof </w:t>
            </w:r>
            <w:r w:rsidRPr="001456CB">
              <w:lastRenderedPageBreak/>
              <w:t>made of thin-walled rolled steel profile and profiled sheet with a thickness of at least 0.7 mm (designed in sections for quick installation and covering). Provide slab connection assemblies for the construction of the second and third floors, taking into account transportation convenience.</w:t>
            </w:r>
            <w:r w:rsidRPr="001456CB">
              <w:br/>
              <w:t>• The insulation thickness shall be determined based on thermal and sound insulation calculations.</w:t>
            </w:r>
            <w:r w:rsidRPr="001456CB">
              <w:br/>
              <w:t>• Modular blocks must comply with thermal performance and sound insulation standards. The Contractor must provide product passports and certificates confirming compliance.</w:t>
            </w:r>
            <w:r w:rsidRPr="001456CB">
              <w:br/>
              <w:t>• Floor construction shall consist of the following layers: commercial-grade linoleum (usage class 34), 18 mm OSB, insulation over batten framing.</w:t>
            </w:r>
            <w:r w:rsidRPr="001456CB">
              <w:br/>
              <w:t>• Linoleum must have a fire safety certificate.</w:t>
            </w:r>
            <w:r w:rsidRPr="001456CB">
              <w:br/>
              <w:t xml:space="preserve">• Interior wall finishing: MDF panels for residential rooms; PVC </w:t>
            </w:r>
            <w:proofErr w:type="spellStart"/>
            <w:r w:rsidRPr="001456CB">
              <w:t>panelling</w:t>
            </w:r>
            <w:proofErr w:type="spellEnd"/>
            <w:r w:rsidRPr="001456CB">
              <w:t xml:space="preserve"> for sanitary facilities; metal siding for technical rooms and corridors.</w:t>
            </w:r>
            <w:r w:rsidRPr="001456CB">
              <w:br/>
              <w:t>• For modular units constructed from prefabricated metal structures: external building cladding shall be metal siding (existing camp façade type — SD 16×145×0.7 as per ST 24507-1910-AO-02-2008, made of thin galvanized steel sheet with beige polymer coating).</w:t>
            </w:r>
            <w:r w:rsidRPr="001456CB">
              <w:br/>
              <w:t>• For modular units constructed from prefabricated reinforced concrete blocks: external finishing shall consist of a thermal insulation layer, wind and waterproof membrane, ventilation air gap, and suspended facade elements mounted on a metal frame, in compliance with SP 1325800.2024 and SP 63.13330.2018.</w:t>
            </w:r>
            <w:r w:rsidRPr="001456CB">
              <w:br/>
              <w:t>• All metal elements must be painted and treated with anti-corrosion coatings in accordance with current standards of the Kyrgyz Republic.</w:t>
            </w:r>
            <w:r w:rsidRPr="001456CB">
              <w:br/>
              <w:t>• Exterior doors: insulated metal doors equipped with an “</w:t>
            </w:r>
            <w:proofErr w:type="spellStart"/>
            <w:r w:rsidRPr="001456CB">
              <w:t>Antipanic</w:t>
            </w:r>
            <w:proofErr w:type="spellEnd"/>
            <w:r w:rsidRPr="001456CB">
              <w:t>” system; interior doors: PVC; windows: metal-plastic, five-chamber profile, with double multifunctional glazing, inward-opening.</w:t>
            </w:r>
            <w:r w:rsidRPr="001456CB">
              <w:br/>
              <w:t>• Ventilation: in residential rooms — according to the project; in corridors — forced exhaust with natural air inflow through louvered grilles in exterior doors; in sanitary units and laundry — forced exhaust with air inflow via transfer grilles in doors (supply and exhaust with natural draft). Install axial exhaust fans in sanitary units and shower rooms.</w:t>
            </w:r>
          </w:p>
          <w:p w14:paraId="28C1EDFD"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The fire alarm and fire extinguishing system shall be installed in accordance with the project.</w:t>
            </w:r>
            <w:r w:rsidRPr="001456CB">
              <w:rPr>
                <w:rFonts w:ascii="Times New Roman" w:eastAsia="Times New Roman" w:hAnsi="Times New Roman" w:cs="Times New Roman"/>
                <w:lang w:eastAsia="ru-RU"/>
              </w:rPr>
              <w:br/>
            </w:r>
            <w:r w:rsidRPr="001456CB">
              <w:rPr>
                <w:rFonts w:ascii="Times New Roman" w:eastAsia="Times New Roman" w:hAnsi="Times New Roman" w:cs="Times New Roman"/>
                <w:lang w:eastAsia="ru-RU"/>
              </w:rPr>
              <w:lastRenderedPageBreak/>
              <w:t>• When designing the automatic fire alarm system, use the equipment available from the Client, namely:</w:t>
            </w:r>
          </w:p>
          <w:p w14:paraId="32D3D748"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Fire alarm control panel “Signal-20”;</w:t>
            </w:r>
          </w:p>
          <w:p w14:paraId="03F6ACDE"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Smoke detector DIP-212-141 (</w:t>
            </w:r>
            <w:proofErr w:type="spellStart"/>
            <w:r w:rsidRPr="001456CB">
              <w:rPr>
                <w:rFonts w:ascii="Times New Roman" w:eastAsia="Times New Roman" w:hAnsi="Times New Roman" w:cs="Times New Roman"/>
                <w:lang w:eastAsia="ru-RU"/>
              </w:rPr>
              <w:t>Rubezh</w:t>
            </w:r>
            <w:proofErr w:type="spellEnd"/>
            <w:r w:rsidRPr="001456CB">
              <w:rPr>
                <w:rFonts w:ascii="Times New Roman" w:eastAsia="Times New Roman" w:hAnsi="Times New Roman" w:cs="Times New Roman"/>
                <w:lang w:eastAsia="ru-RU"/>
              </w:rPr>
              <w:t>);</w:t>
            </w:r>
          </w:p>
          <w:p w14:paraId="29526D9B"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Manual fire alarm call point IP 513-10 (</w:t>
            </w:r>
            <w:proofErr w:type="spellStart"/>
            <w:r w:rsidRPr="001456CB">
              <w:rPr>
                <w:rFonts w:ascii="Times New Roman" w:eastAsia="Times New Roman" w:hAnsi="Times New Roman" w:cs="Times New Roman"/>
                <w:lang w:eastAsia="ru-RU"/>
              </w:rPr>
              <w:t>Rubezh</w:t>
            </w:r>
            <w:proofErr w:type="spellEnd"/>
            <w:r w:rsidRPr="001456CB">
              <w:rPr>
                <w:rFonts w:ascii="Times New Roman" w:eastAsia="Times New Roman" w:hAnsi="Times New Roman" w:cs="Times New Roman"/>
                <w:lang w:eastAsia="ru-RU"/>
              </w:rPr>
              <w:t>);</w:t>
            </w:r>
          </w:p>
          <w:p w14:paraId="5A43AC8C"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Audible and visual signal device “Mayak-12-KP”;</w:t>
            </w:r>
          </w:p>
          <w:p w14:paraId="713F5D82"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Backup power supply IVEPR 12/5;</w:t>
            </w:r>
          </w:p>
          <w:p w14:paraId="26F33E96"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Wall-mounted voice annunciator “Sonata-M”;</w:t>
            </w:r>
          </w:p>
          <w:p w14:paraId="5CB4CBCB"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Control and monitoring panel “S2000-M”;</w:t>
            </w:r>
          </w:p>
          <w:p w14:paraId="1EFB19A4"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Interface converter RS-485/RS-232 “S2000-Ethernet”.</w:t>
            </w:r>
          </w:p>
          <w:p w14:paraId="22137BD3"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automatic fire alarm system shall be integrated via a local network with the central fire alarm control panel located in the Emergency Response Service building.</w:t>
            </w:r>
          </w:p>
          <w:p w14:paraId="60821FEC"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Reinforced concrete strip foundations with ventilated substructure shall be provided.</w:t>
            </w:r>
          </w:p>
          <w:p w14:paraId="7B0F8B81" w14:textId="77777777" w:rsidR="008451C4" w:rsidRPr="001456CB" w:rsidRDefault="008451C4" w:rsidP="00CB033E">
            <w:pPr>
              <w:spacing w:after="0" w:line="276" w:lineRule="auto"/>
              <w:rPr>
                <w:rFonts w:ascii="Times New Roman" w:eastAsia="Times New Roman" w:hAnsi="Times New Roman" w:cs="Times New Roman"/>
                <w:lang w:eastAsia="ru-RU"/>
              </w:rPr>
            </w:pPr>
            <w:r w:rsidRPr="00123700">
              <w:rPr>
                <w:rFonts w:ascii="Times New Roman" w:eastAsia="Times New Roman" w:hAnsi="Times New Roman" w:cs="Times New Roman"/>
                <w:bCs/>
                <w:i/>
                <w:lang w:eastAsia="ru-RU"/>
              </w:rPr>
              <w:t>Plumbing solutions:</w:t>
            </w:r>
            <w:r w:rsidRPr="001456CB">
              <w:rPr>
                <w:rFonts w:ascii="Times New Roman" w:eastAsia="Times New Roman" w:hAnsi="Times New Roman" w:cs="Times New Roman"/>
                <w:lang w:eastAsia="ru-RU"/>
              </w:rPr>
              <w:br/>
              <w:t>• Provide water supply and sewage systems, as well as plumbing fixtures (shower cabins, toilet cabins, sinks, toilets, urinals). The quantity of shower cabins, toilet cabins, sinks, toilets, and urinals shall not be less than indicated in the schematic layout.</w:t>
            </w:r>
            <w:r w:rsidRPr="001456CB">
              <w:rPr>
                <w:rFonts w:ascii="Times New Roman" w:eastAsia="Times New Roman" w:hAnsi="Times New Roman" w:cs="Times New Roman"/>
                <w:lang w:eastAsia="ru-RU"/>
              </w:rPr>
              <w:br/>
              <w:t>• The dimensions of shower cabins and toilet cabins shall not be less than those shown in the schematic layout.</w:t>
            </w:r>
          </w:p>
          <w:p w14:paraId="1E67CDD9" w14:textId="77777777" w:rsidR="008451C4" w:rsidRDefault="008451C4" w:rsidP="00CB033E">
            <w:pPr>
              <w:spacing w:after="0" w:line="276" w:lineRule="auto"/>
              <w:rPr>
                <w:rFonts w:ascii="Times New Roman" w:eastAsia="Times New Roman" w:hAnsi="Times New Roman" w:cs="Times New Roman"/>
                <w:b/>
                <w:bCs/>
                <w:lang w:eastAsia="ru-RU"/>
              </w:rPr>
            </w:pPr>
          </w:p>
          <w:p w14:paraId="0F50CC96" w14:textId="77777777" w:rsidR="008451C4" w:rsidRPr="001456CB" w:rsidRDefault="008451C4" w:rsidP="00CB033E">
            <w:pPr>
              <w:spacing w:after="0" w:line="276" w:lineRule="auto"/>
              <w:rPr>
                <w:rFonts w:ascii="Times New Roman" w:eastAsia="Times New Roman" w:hAnsi="Times New Roman" w:cs="Times New Roman"/>
                <w:lang w:eastAsia="ru-RU"/>
              </w:rPr>
            </w:pPr>
            <w:r w:rsidRPr="00123700">
              <w:rPr>
                <w:rFonts w:ascii="Times New Roman" w:eastAsia="Times New Roman" w:hAnsi="Times New Roman" w:cs="Times New Roman"/>
                <w:bCs/>
                <w:i/>
                <w:lang w:eastAsia="ru-RU"/>
              </w:rPr>
              <w:t>Electrical solutions:</w:t>
            </w:r>
            <w:r w:rsidRPr="001456CB">
              <w:rPr>
                <w:rFonts w:ascii="Times New Roman" w:eastAsia="Times New Roman" w:hAnsi="Times New Roman" w:cs="Times New Roman"/>
                <w:i/>
                <w:lang w:eastAsia="ru-RU"/>
              </w:rPr>
              <w:br/>
            </w:r>
            <w:r w:rsidRPr="001456CB">
              <w:rPr>
                <w:rFonts w:ascii="Times New Roman" w:eastAsia="Times New Roman" w:hAnsi="Times New Roman" w:cs="Times New Roman"/>
                <w:lang w:eastAsia="ru-RU"/>
              </w:rPr>
              <w:t>• To distribute power to consumers, use main distribution boards (</w:t>
            </w:r>
            <w:proofErr w:type="spellStart"/>
            <w:r w:rsidRPr="001456CB">
              <w:rPr>
                <w:rFonts w:ascii="Times New Roman" w:eastAsia="Times New Roman" w:hAnsi="Times New Roman" w:cs="Times New Roman"/>
                <w:lang w:eastAsia="ru-RU"/>
              </w:rPr>
              <w:t>VRSh</w:t>
            </w:r>
            <w:proofErr w:type="spellEnd"/>
            <w:r w:rsidRPr="001456CB">
              <w:rPr>
                <w:rFonts w:ascii="Times New Roman" w:eastAsia="Times New Roman" w:hAnsi="Times New Roman" w:cs="Times New Roman"/>
                <w:lang w:eastAsia="ru-RU"/>
              </w:rPr>
              <w:t xml:space="preserve">). To ensure additional fire safety, install a residual-current device (RCD) with the appropriate rated current and leakage current trip settings at the input of each </w:t>
            </w:r>
            <w:proofErr w:type="spellStart"/>
            <w:r w:rsidRPr="001456CB">
              <w:rPr>
                <w:rFonts w:ascii="Times New Roman" w:eastAsia="Times New Roman" w:hAnsi="Times New Roman" w:cs="Times New Roman"/>
                <w:lang w:eastAsia="ru-RU"/>
              </w:rPr>
              <w:t>VRSh</w:t>
            </w:r>
            <w:proofErr w:type="spellEnd"/>
            <w:r w:rsidRPr="001456CB">
              <w:rPr>
                <w:rFonts w:ascii="Times New Roman" w:eastAsia="Times New Roman" w:hAnsi="Times New Roman" w:cs="Times New Roman"/>
                <w:lang w:eastAsia="ru-RU"/>
              </w:rPr>
              <w:t>.</w:t>
            </w:r>
            <w:r w:rsidRPr="001456CB">
              <w:rPr>
                <w:rFonts w:ascii="Times New Roman" w:eastAsia="Times New Roman" w:hAnsi="Times New Roman" w:cs="Times New Roman"/>
                <w:lang w:eastAsia="ru-RU"/>
              </w:rPr>
              <w:br/>
              <w:t>• To protect against electric shock during operation of electrical networks and equipment, all non-current-carrying metal parts shall be earthed using a protective neutral conductor (PE) in the distribution board.</w:t>
            </w:r>
            <w:r w:rsidRPr="001456CB">
              <w:rPr>
                <w:rFonts w:ascii="Times New Roman" w:eastAsia="Times New Roman" w:hAnsi="Times New Roman" w:cs="Times New Roman"/>
                <w:lang w:eastAsia="ru-RU"/>
              </w:rPr>
              <w:br/>
              <w:t>• Install a group distribution panel above each residential room.</w:t>
            </w:r>
            <w:r w:rsidRPr="001456CB">
              <w:rPr>
                <w:rFonts w:ascii="Times New Roman" w:eastAsia="Times New Roman" w:hAnsi="Times New Roman" w:cs="Times New Roman"/>
                <w:lang w:eastAsia="ru-RU"/>
              </w:rPr>
              <w:br/>
              <w:t>• All lighting fixtures shall be grouped by lighting zones.</w:t>
            </w:r>
            <w:r w:rsidRPr="001456CB">
              <w:rPr>
                <w:rFonts w:ascii="Times New Roman" w:eastAsia="Times New Roman" w:hAnsi="Times New Roman" w:cs="Times New Roman"/>
                <w:lang w:eastAsia="ru-RU"/>
              </w:rPr>
              <w:br/>
              <w:t xml:space="preserve">• Power lines for lighting shall be made using </w:t>
            </w:r>
            <w:proofErr w:type="spellStart"/>
            <w:r w:rsidRPr="001456CB">
              <w:rPr>
                <w:rFonts w:ascii="Times New Roman" w:eastAsia="Times New Roman" w:hAnsi="Times New Roman" w:cs="Times New Roman"/>
                <w:lang w:eastAsia="ru-RU"/>
              </w:rPr>
              <w:t>VVGngLS</w:t>
            </w:r>
            <w:proofErr w:type="spellEnd"/>
            <w:r w:rsidRPr="001456CB">
              <w:rPr>
                <w:rFonts w:ascii="Times New Roman" w:eastAsia="Times New Roman" w:hAnsi="Times New Roman" w:cs="Times New Roman"/>
                <w:lang w:eastAsia="ru-RU"/>
              </w:rPr>
              <w:t xml:space="preserve"> cable. Cable shall be laid in corrugated PVC conduit from the main line to the lighting fixtures.</w:t>
            </w:r>
            <w:r w:rsidRPr="001456CB">
              <w:rPr>
                <w:rFonts w:ascii="Times New Roman" w:eastAsia="Times New Roman" w:hAnsi="Times New Roman" w:cs="Times New Roman"/>
                <w:lang w:eastAsia="ru-RU"/>
              </w:rPr>
              <w:br/>
              <w:t xml:space="preserve">• Power supply to emergency and evacuation lighting must comply with the requirements of PUE Sections 6.1 and 6.2, as well as </w:t>
            </w:r>
            <w:proofErr w:type="spellStart"/>
            <w:r w:rsidRPr="001456CB">
              <w:rPr>
                <w:rFonts w:ascii="Times New Roman" w:eastAsia="Times New Roman" w:hAnsi="Times New Roman" w:cs="Times New Roman"/>
                <w:lang w:eastAsia="ru-RU"/>
              </w:rPr>
              <w:t>SNiP</w:t>
            </w:r>
            <w:proofErr w:type="spellEnd"/>
            <w:r w:rsidRPr="001456CB">
              <w:rPr>
                <w:rFonts w:ascii="Times New Roman" w:eastAsia="Times New Roman" w:hAnsi="Times New Roman" w:cs="Times New Roman"/>
                <w:lang w:eastAsia="ru-RU"/>
              </w:rPr>
              <w:t xml:space="preserve"> 23-05-95 “Natural and Artificial Lighting”.</w:t>
            </w:r>
            <w:r w:rsidRPr="001456CB">
              <w:rPr>
                <w:rFonts w:ascii="Times New Roman" w:eastAsia="Times New Roman" w:hAnsi="Times New Roman" w:cs="Times New Roman"/>
                <w:lang w:eastAsia="ru-RU"/>
              </w:rPr>
              <w:br/>
              <w:t xml:space="preserve">• In accordance with PUE p. 7.1.49, socket outlets rated at not less than 16A with protective contacts shall be installed in the </w:t>
            </w:r>
            <w:r w:rsidRPr="001456CB">
              <w:rPr>
                <w:rFonts w:ascii="Times New Roman" w:eastAsia="Times New Roman" w:hAnsi="Times New Roman" w:cs="Times New Roman"/>
                <w:lang w:eastAsia="ru-RU"/>
              </w:rPr>
              <w:lastRenderedPageBreak/>
              <w:t>premises and must be equipped with protective shutters that automatically close when the plug is removed.</w:t>
            </w:r>
            <w:r w:rsidRPr="001456CB">
              <w:rPr>
                <w:rFonts w:ascii="Times New Roman" w:eastAsia="Times New Roman" w:hAnsi="Times New Roman" w:cs="Times New Roman"/>
                <w:lang w:eastAsia="ru-RU"/>
              </w:rPr>
              <w:br/>
              <w:t xml:space="preserve">• Wiring for socket outlets and lighting networks shall be installed in corrugated PVC conduits, using </w:t>
            </w:r>
            <w:proofErr w:type="spellStart"/>
            <w:r w:rsidRPr="001456CB">
              <w:rPr>
                <w:rFonts w:ascii="Times New Roman" w:eastAsia="Times New Roman" w:hAnsi="Times New Roman" w:cs="Times New Roman"/>
                <w:lang w:eastAsia="ru-RU"/>
              </w:rPr>
              <w:t>VVGngLS</w:t>
            </w:r>
            <w:proofErr w:type="spellEnd"/>
            <w:r w:rsidRPr="001456CB">
              <w:rPr>
                <w:rFonts w:ascii="Times New Roman" w:eastAsia="Times New Roman" w:hAnsi="Times New Roman" w:cs="Times New Roman"/>
                <w:lang w:eastAsia="ru-RU"/>
              </w:rPr>
              <w:t xml:space="preserve"> 3×2.5 copper-core cable, laid concealed in panel wall voids in PVC conduits under plaster. PVC conduits must have a fire safety certificate in accordance with NPB 246-97.</w:t>
            </w:r>
            <w:r w:rsidRPr="001456CB">
              <w:rPr>
                <w:rFonts w:ascii="Times New Roman" w:eastAsia="Times New Roman" w:hAnsi="Times New Roman" w:cs="Times New Roman"/>
                <w:lang w:eastAsia="ru-RU"/>
              </w:rPr>
              <w:br/>
              <w:t>• In accordance with PUE p. 7.1.38, electrical wiring installed behind non-accessible suspended ceilings and in partitions shall be considered concealed wiring and shall be installed: behind ceilings and within cavities of partitions made of non-combustible materials in metal pipes or PVC conduits with localization capability, and in closed ducts; behind ceilings and partitions of combustible materials in conduits and ducts made of non-combustible materials, as well as cables that do not support combustion.</w:t>
            </w:r>
            <w:r w:rsidRPr="001456CB">
              <w:rPr>
                <w:rFonts w:ascii="Times New Roman" w:eastAsia="Times New Roman" w:hAnsi="Times New Roman" w:cs="Times New Roman"/>
                <w:lang w:eastAsia="ru-RU"/>
              </w:rPr>
              <w:br/>
              <w:t>• Install switches at a height of 1000 mm, unless otherwise specified.</w:t>
            </w:r>
          </w:p>
          <w:p w14:paraId="29C5464C"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Electrical outlets in sanitary units must be moisture-protected, with a rating of IP-44.</w:t>
            </w:r>
            <w:r w:rsidRPr="001456CB">
              <w:rPr>
                <w:rFonts w:ascii="Times New Roman" w:eastAsia="Times New Roman" w:hAnsi="Times New Roman" w:cs="Times New Roman"/>
                <w:lang w:eastAsia="ru-RU"/>
              </w:rPr>
              <w:br/>
              <w:t>• The centerline height of outlets shall be 1000 mm, unless otherwise specified.</w:t>
            </w:r>
            <w:r w:rsidRPr="001456CB">
              <w:rPr>
                <w:rFonts w:ascii="Times New Roman" w:eastAsia="Times New Roman" w:hAnsi="Times New Roman" w:cs="Times New Roman"/>
                <w:lang w:eastAsia="ru-RU"/>
              </w:rPr>
              <w:br/>
              <w:t>• Outlet positioning along walls shall be specified according to the center of the group.</w:t>
            </w:r>
            <w:r w:rsidRPr="001456CB">
              <w:rPr>
                <w:rFonts w:ascii="Times New Roman" w:eastAsia="Times New Roman" w:hAnsi="Times New Roman" w:cs="Times New Roman"/>
                <w:lang w:eastAsia="ru-RU"/>
              </w:rPr>
              <w:br/>
              <w:t>• The number of outlets is specified in the schematic layout and must not be less than the indicated quantity.</w:t>
            </w:r>
            <w:r w:rsidRPr="001456CB">
              <w:rPr>
                <w:rFonts w:ascii="Times New Roman" w:eastAsia="Times New Roman" w:hAnsi="Times New Roman" w:cs="Times New Roman"/>
                <w:lang w:eastAsia="ru-RU"/>
              </w:rPr>
              <w:br/>
              <w:t>• Switches for LED lighting fixtures shall be installed at a height of 1500 mm before entering the room.</w:t>
            </w:r>
            <w:r w:rsidRPr="001456CB">
              <w:rPr>
                <w:rFonts w:ascii="Times New Roman" w:eastAsia="Times New Roman" w:hAnsi="Times New Roman" w:cs="Times New Roman"/>
                <w:lang w:eastAsia="ru-RU"/>
              </w:rPr>
              <w:br/>
              <w:t>• Install LED-type lighting fixtures (Panasonic) for general lighting in residential rooms and corridors.</w:t>
            </w:r>
            <w:r w:rsidRPr="001456CB">
              <w:rPr>
                <w:rFonts w:ascii="Times New Roman" w:eastAsia="Times New Roman" w:hAnsi="Times New Roman" w:cs="Times New Roman"/>
                <w:lang w:eastAsia="ru-RU"/>
              </w:rPr>
              <w:br/>
              <w:t>• Provide emergency lighting at corridor exits, in sanitary units, and on stair flights.</w:t>
            </w:r>
            <w:r w:rsidRPr="001456CB">
              <w:rPr>
                <w:rFonts w:ascii="Times New Roman" w:eastAsia="Times New Roman" w:hAnsi="Times New Roman" w:cs="Times New Roman"/>
                <w:lang w:eastAsia="ru-RU"/>
              </w:rPr>
              <w:br/>
              <w:t>• Provide installation of two wall-mounted lights (sconces) above the beds in each residential room.</w:t>
            </w:r>
            <w:r w:rsidRPr="001456CB">
              <w:rPr>
                <w:rFonts w:ascii="Times New Roman" w:eastAsia="Times New Roman" w:hAnsi="Times New Roman" w:cs="Times New Roman"/>
                <w:lang w:eastAsia="ru-RU"/>
              </w:rPr>
              <w:br/>
              <w:t xml:space="preserve">• Heating of residential rooms and corridors shall be provided by wall-mounted convection heaters rated at 1500 W, 220 V, with thermostats. </w:t>
            </w:r>
            <w:r w:rsidRPr="001456CB">
              <w:rPr>
                <w:rFonts w:ascii="Times New Roman" w:eastAsia="Times New Roman" w:hAnsi="Times New Roman" w:cs="Times New Roman"/>
                <w:b/>
                <w:u w:val="single"/>
                <w:lang w:eastAsia="ru-RU"/>
              </w:rPr>
              <w:t>Select advanced and energy-efficient models; technical characteristics shall be agreed with the Client.</w:t>
            </w:r>
            <w:r w:rsidRPr="001456CB">
              <w:rPr>
                <w:rFonts w:ascii="Times New Roman" w:eastAsia="Times New Roman" w:hAnsi="Times New Roman" w:cs="Times New Roman"/>
                <w:b/>
                <w:u w:val="single"/>
                <w:lang w:eastAsia="ru-RU"/>
              </w:rPr>
              <w:br/>
            </w:r>
            <w:r w:rsidRPr="001456CB">
              <w:rPr>
                <w:rFonts w:ascii="Times New Roman" w:eastAsia="Times New Roman" w:hAnsi="Times New Roman" w:cs="Times New Roman"/>
                <w:lang w:eastAsia="ru-RU"/>
              </w:rPr>
              <w:t>• Ensure that grounding conductor connection points with grounding busbars are accessible for inspection and maintenance.</w:t>
            </w:r>
            <w:r w:rsidRPr="001456CB">
              <w:rPr>
                <w:rFonts w:ascii="Times New Roman" w:eastAsia="Times New Roman" w:hAnsi="Times New Roman" w:cs="Times New Roman"/>
                <w:lang w:eastAsia="ru-RU"/>
              </w:rPr>
              <w:br/>
            </w:r>
            <w:r w:rsidRPr="001456CB">
              <w:rPr>
                <w:rFonts w:ascii="Times New Roman" w:eastAsia="Times New Roman" w:hAnsi="Times New Roman" w:cs="Times New Roman"/>
                <w:lang w:eastAsia="ru-RU"/>
              </w:rPr>
              <w:lastRenderedPageBreak/>
              <w:t>• To ensure proper operation of electrical devices, provide an additional (third) grounding conductor for each consumer, connected to the appropriate grounding loop.</w:t>
            </w:r>
          </w:p>
          <w:p w14:paraId="1026A71B" w14:textId="77777777" w:rsidR="008451C4" w:rsidRDefault="008451C4" w:rsidP="00CB033E">
            <w:pPr>
              <w:spacing w:after="0" w:line="276" w:lineRule="auto"/>
              <w:rPr>
                <w:rFonts w:ascii="Times New Roman" w:eastAsia="Times New Roman" w:hAnsi="Times New Roman" w:cs="Times New Roman"/>
                <w:b/>
                <w:bCs/>
                <w:lang w:eastAsia="ru-RU"/>
              </w:rPr>
            </w:pPr>
          </w:p>
          <w:p w14:paraId="35E573F3" w14:textId="77777777" w:rsidR="008451C4" w:rsidRDefault="008451C4" w:rsidP="00CB033E">
            <w:pPr>
              <w:spacing w:after="0" w:line="276" w:lineRule="auto"/>
              <w:rPr>
                <w:rFonts w:ascii="Times New Roman" w:eastAsia="Times New Roman" w:hAnsi="Times New Roman" w:cs="Times New Roman"/>
                <w:bCs/>
                <w:i/>
                <w:lang w:eastAsia="ru-RU"/>
              </w:rPr>
            </w:pPr>
            <w:r w:rsidRPr="005155F8">
              <w:rPr>
                <w:rFonts w:ascii="Times New Roman" w:eastAsia="Times New Roman" w:hAnsi="Times New Roman" w:cs="Times New Roman"/>
                <w:bCs/>
                <w:i/>
                <w:lang w:eastAsia="ru-RU"/>
              </w:rPr>
              <w:t>Requirements for IT Infrastructure and Structured Cabling System (SCS):</w:t>
            </w:r>
          </w:p>
          <w:p w14:paraId="3E9E1382" w14:textId="77777777" w:rsidR="008451C4" w:rsidRPr="001456CB" w:rsidRDefault="008451C4" w:rsidP="00CB033E">
            <w:pPr>
              <w:spacing w:after="0" w:line="276" w:lineRule="auto"/>
              <w:rPr>
                <w:rFonts w:ascii="Times New Roman" w:eastAsia="Times New Roman" w:hAnsi="Times New Roman" w:cs="Times New Roman"/>
                <w:i/>
                <w:lang w:eastAsia="ru-RU"/>
              </w:rPr>
            </w:pPr>
          </w:p>
          <w:p w14:paraId="515F4116" w14:textId="77777777" w:rsidR="008451C4" w:rsidRPr="001456CB" w:rsidRDefault="008451C4" w:rsidP="00CB033E">
            <w:pPr>
              <w:numPr>
                <w:ilvl w:val="0"/>
                <w:numId w:val="18"/>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General Provisions</w:t>
            </w:r>
            <w:r w:rsidRPr="001456CB">
              <w:rPr>
                <w:rFonts w:ascii="Times New Roman" w:eastAsia="Times New Roman" w:hAnsi="Times New Roman" w:cs="Times New Roman"/>
                <w:lang w:eastAsia="ru-RU"/>
              </w:rPr>
              <w:br/>
              <w:t>To provide network infrastructure for the new residential blocks (600-person capacity), it is necessary to build a structured cabling system (SCS) in accordance with ISO/IEC 11801. The system must be built using CAT5E components from a single manufacturer, ensuring compatibility and standardization of all elements.</w:t>
            </w:r>
          </w:p>
          <w:p w14:paraId="4E50C12F" w14:textId="77777777" w:rsidR="008451C4" w:rsidRPr="001456CB" w:rsidRDefault="008451C4" w:rsidP="00CB033E">
            <w:pPr>
              <w:numPr>
                <w:ilvl w:val="0"/>
                <w:numId w:val="18"/>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Horizontal Subsystem:</w:t>
            </w:r>
            <w:r w:rsidRPr="001456CB">
              <w:rPr>
                <w:rFonts w:ascii="Times New Roman" w:eastAsia="Times New Roman" w:hAnsi="Times New Roman" w:cs="Times New Roman"/>
                <w:lang w:eastAsia="ru-RU"/>
              </w:rPr>
              <w:br/>
              <w:t>• In each residential room (total of 300 rooms: 2 blocks × 3 floors × 2 rows × 25 rooms), one network outlet shall be installed near the electrical outlet for a television.</w:t>
            </w:r>
            <w:r w:rsidRPr="001456CB">
              <w:rPr>
                <w:rFonts w:ascii="Times New Roman" w:eastAsia="Times New Roman" w:hAnsi="Times New Roman" w:cs="Times New Roman"/>
                <w:lang w:eastAsia="ru-RU"/>
              </w:rPr>
              <w:br/>
              <w:t>• In each corridor, on every floor, single network outlets shall be installed in the ceiling at equal spacing to connect Wi-Fi access points. Recommended: 6 access points per floor.</w:t>
            </w:r>
            <w:r w:rsidRPr="001456CB">
              <w:rPr>
                <w:rFonts w:ascii="Times New Roman" w:eastAsia="Times New Roman" w:hAnsi="Times New Roman" w:cs="Times New Roman"/>
                <w:lang w:eastAsia="ru-RU"/>
              </w:rPr>
              <w:br/>
              <w:t>• At each stairwell landing in the corridor, install single network outlets for connecting two public-use telephones (2 telephones per floor).</w:t>
            </w:r>
            <w:r w:rsidRPr="001456CB">
              <w:rPr>
                <w:rFonts w:ascii="Times New Roman" w:eastAsia="Times New Roman" w:hAnsi="Times New Roman" w:cs="Times New Roman"/>
                <w:lang w:eastAsia="ru-RU"/>
              </w:rPr>
              <w:br/>
              <w:t>• Network cabling may be routed either inside walls or in decorative cable ducts, with a recommended cable fill ratio of no more than 25%.</w:t>
            </w:r>
            <w:r w:rsidRPr="001456CB">
              <w:rPr>
                <w:rFonts w:ascii="Times New Roman" w:eastAsia="Times New Roman" w:hAnsi="Times New Roman" w:cs="Times New Roman"/>
                <w:lang w:eastAsia="ru-RU"/>
              </w:rPr>
              <w:br/>
              <w:t>• The horizontal subsystem must use UTP CAT5E network cable only. The use of FTP, STP, S/FTP, or other shielded cable types is not allowed.</w:t>
            </w:r>
          </w:p>
          <w:p w14:paraId="0B0FF9E6" w14:textId="77777777" w:rsidR="008451C4" w:rsidRPr="001456CB" w:rsidRDefault="008451C4" w:rsidP="00CB033E">
            <w:pPr>
              <w:numPr>
                <w:ilvl w:val="0"/>
                <w:numId w:val="19"/>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Communication Cabinets</w:t>
            </w:r>
            <w:r w:rsidRPr="001456CB">
              <w:rPr>
                <w:rFonts w:ascii="Times New Roman" w:eastAsia="Times New Roman" w:hAnsi="Times New Roman" w:cs="Times New Roman"/>
                <w:lang w:eastAsia="ru-RU"/>
              </w:rPr>
              <w:br/>
              <w:t>One closed 19-inch cabinet, 42U in height and 800 mm in depth, shall be installed on each floor.</w:t>
            </w:r>
            <w:r w:rsidRPr="001456CB">
              <w:rPr>
                <w:rFonts w:ascii="Times New Roman" w:eastAsia="Times New Roman" w:hAnsi="Times New Roman" w:cs="Times New Roman"/>
                <w:lang w:eastAsia="ru-RU"/>
              </w:rPr>
              <w:br/>
              <w:t>Each cabinet shall include:</w:t>
            </w:r>
            <w:r w:rsidRPr="001456CB">
              <w:rPr>
                <w:rFonts w:ascii="Times New Roman" w:eastAsia="Times New Roman" w:hAnsi="Times New Roman" w:cs="Times New Roman"/>
                <w:lang w:eastAsia="ru-RU"/>
              </w:rPr>
              <w:br/>
              <w:t>• Three 24-port patch panels (total 72 ports per floor).</w:t>
            </w:r>
            <w:r w:rsidRPr="001456CB">
              <w:rPr>
                <w:rFonts w:ascii="Times New Roman" w:eastAsia="Times New Roman" w:hAnsi="Times New Roman" w:cs="Times New Roman"/>
                <w:lang w:eastAsia="ru-RU"/>
              </w:rPr>
              <w:br/>
              <w:t>• One 24-port ODF panel with SC adapters for optical connections.</w:t>
            </w:r>
            <w:r w:rsidRPr="001456CB">
              <w:rPr>
                <w:rFonts w:ascii="Times New Roman" w:eastAsia="Times New Roman" w:hAnsi="Times New Roman" w:cs="Times New Roman"/>
                <w:lang w:eastAsia="ru-RU"/>
              </w:rPr>
              <w:br/>
              <w:t>• In one of the six cabinets, an additional 24-port ODF panel with SC adapters shall be installed for connection to the existing backbone subsystem.</w:t>
            </w:r>
            <w:r w:rsidRPr="001456CB">
              <w:rPr>
                <w:rFonts w:ascii="Times New Roman" w:eastAsia="Times New Roman" w:hAnsi="Times New Roman" w:cs="Times New Roman"/>
                <w:lang w:eastAsia="ru-RU"/>
              </w:rPr>
              <w:br/>
            </w:r>
            <w:r w:rsidRPr="001456CB">
              <w:rPr>
                <w:rFonts w:ascii="Times New Roman" w:eastAsia="Times New Roman" w:hAnsi="Times New Roman" w:cs="Times New Roman"/>
                <w:lang w:eastAsia="ru-RU"/>
              </w:rPr>
              <w:lastRenderedPageBreak/>
              <w:t>• In the old camp, in Block 9, an additional 24-port ODF panel with SC adapters shall be installed to integrate the new blocks into the existing local network.</w:t>
            </w:r>
            <w:r w:rsidRPr="001456CB">
              <w:rPr>
                <w:rFonts w:ascii="Times New Roman" w:eastAsia="Times New Roman" w:hAnsi="Times New Roman" w:cs="Times New Roman"/>
                <w:lang w:eastAsia="ru-RU"/>
              </w:rPr>
              <w:br/>
              <w:t>• At least three cable organizers shall be installed in each cabinet.</w:t>
            </w:r>
            <w:r w:rsidRPr="001456CB">
              <w:rPr>
                <w:rFonts w:ascii="Times New Roman" w:eastAsia="Times New Roman" w:hAnsi="Times New Roman" w:cs="Times New Roman"/>
                <w:lang w:eastAsia="ru-RU"/>
              </w:rPr>
              <w:br/>
              <w:t>• At least one fan shall be installed in each cabinet.</w:t>
            </w:r>
            <w:r w:rsidRPr="001456CB">
              <w:rPr>
                <w:rFonts w:ascii="Times New Roman" w:eastAsia="Times New Roman" w:hAnsi="Times New Roman" w:cs="Times New Roman"/>
                <w:lang w:eastAsia="ru-RU"/>
              </w:rPr>
              <w:br/>
              <w:t>• A vertical PDU with at least 8 electrical sockets shall be installed in each cabinet.</w:t>
            </w:r>
          </w:p>
          <w:p w14:paraId="7EF2AD84" w14:textId="77777777" w:rsidR="008451C4" w:rsidRPr="001456CB" w:rsidRDefault="008451C4" w:rsidP="00CB033E">
            <w:pPr>
              <w:numPr>
                <w:ilvl w:val="0"/>
                <w:numId w:val="19"/>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Backbone Subsystem</w:t>
            </w:r>
            <w:r w:rsidRPr="001456CB">
              <w:rPr>
                <w:rFonts w:ascii="Times New Roman" w:eastAsia="Times New Roman" w:hAnsi="Times New Roman" w:cs="Times New Roman"/>
                <w:lang w:eastAsia="ru-RU"/>
              </w:rPr>
              <w:br/>
              <w:t>• Cabinets between floors shall be linked in series using single-mode (SM) optical fiber cables with 8 fibers.</w:t>
            </w:r>
          </w:p>
          <w:p w14:paraId="3EF78D4D" w14:textId="77777777" w:rsidR="008451C4" w:rsidRPr="001456CB" w:rsidRDefault="008451C4" w:rsidP="00CB033E">
            <w:pPr>
              <w:numPr>
                <w:ilvl w:val="0"/>
                <w:numId w:val="19"/>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Cable Installation</w:t>
            </w:r>
            <w:r w:rsidRPr="001456CB">
              <w:rPr>
                <w:rFonts w:ascii="Times New Roman" w:eastAsia="Times New Roman" w:hAnsi="Times New Roman" w:cs="Times New Roman"/>
                <w:lang w:eastAsia="ru-RU"/>
              </w:rPr>
              <w:br/>
              <w:t>• Cables shall be routed in corrugated conduit or cable channels in compliance with bend radius and fire safety requirements.</w:t>
            </w:r>
          </w:p>
          <w:p w14:paraId="39F48F7A" w14:textId="77777777" w:rsidR="008451C4" w:rsidRPr="001456CB" w:rsidRDefault="008451C4" w:rsidP="00CB033E">
            <w:p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Labeling</w:t>
            </w:r>
            <w:r w:rsidRPr="001456CB">
              <w:rPr>
                <w:rFonts w:ascii="Times New Roman" w:eastAsia="Times New Roman" w:hAnsi="Times New Roman" w:cs="Times New Roman"/>
                <w:lang w:eastAsia="ru-RU"/>
              </w:rPr>
              <w:br/>
              <w:t>• All components shall be labeled according to a scheme pre-approved by the Client.</w:t>
            </w:r>
            <w:r w:rsidRPr="001456CB">
              <w:rPr>
                <w:rFonts w:ascii="Times New Roman" w:eastAsia="Times New Roman" w:hAnsi="Times New Roman" w:cs="Times New Roman"/>
                <w:lang w:eastAsia="ru-RU"/>
              </w:rPr>
              <w:br/>
              <w:t>• A labeling map shall be placed inside each communication cabinet.</w:t>
            </w:r>
          </w:p>
          <w:p w14:paraId="76310040" w14:textId="77777777" w:rsidR="008451C4" w:rsidRPr="001456CB" w:rsidRDefault="008451C4" w:rsidP="00CB033E">
            <w:pPr>
              <w:numPr>
                <w:ilvl w:val="0"/>
                <w:numId w:val="20"/>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Active equipment shall be provided by the Client.</w:t>
            </w:r>
          </w:p>
          <w:p w14:paraId="50E39BA6" w14:textId="77777777" w:rsidR="008451C4" w:rsidRPr="001456CB" w:rsidRDefault="008451C4" w:rsidP="00CB033E">
            <w:pPr>
              <w:numPr>
                <w:ilvl w:val="0"/>
                <w:numId w:val="20"/>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Documentation</w:t>
            </w:r>
            <w:r w:rsidRPr="001456CB">
              <w:rPr>
                <w:rFonts w:ascii="Times New Roman" w:eastAsia="Times New Roman" w:hAnsi="Times New Roman" w:cs="Times New Roman"/>
                <w:lang w:eastAsia="ru-RU"/>
              </w:rPr>
              <w:br/>
              <w:t>• Cable routing diagrams and floor plans showing connection points.</w:t>
            </w:r>
            <w:r w:rsidRPr="001456CB">
              <w:rPr>
                <w:rFonts w:ascii="Times New Roman" w:eastAsia="Times New Roman" w:hAnsi="Times New Roman" w:cs="Times New Roman"/>
                <w:lang w:eastAsia="ru-RU"/>
              </w:rPr>
              <w:br/>
              <w:t>• Equipment specifications.</w:t>
            </w:r>
            <w:r w:rsidRPr="001456CB">
              <w:rPr>
                <w:rFonts w:ascii="Times New Roman" w:eastAsia="Times New Roman" w:hAnsi="Times New Roman" w:cs="Times New Roman"/>
                <w:lang w:eastAsia="ru-RU"/>
              </w:rPr>
              <w:br/>
              <w:t>• Test report for all lines (CAT5E compliance test, length, attenuation, crosstalk).</w:t>
            </w:r>
            <w:r w:rsidRPr="001456CB">
              <w:rPr>
                <w:rFonts w:ascii="Times New Roman" w:eastAsia="Times New Roman" w:hAnsi="Times New Roman" w:cs="Times New Roman"/>
                <w:lang w:eastAsia="ru-RU"/>
              </w:rPr>
              <w:br/>
              <w:t>• SCS passport and warranty documentation.</w:t>
            </w:r>
          </w:p>
          <w:p w14:paraId="7F55B96B" w14:textId="68D199CB" w:rsidR="008451C4" w:rsidRPr="00CB04F5" w:rsidRDefault="008451C4" w:rsidP="00CB033E">
            <w:pPr>
              <w:spacing w:after="0" w:line="276" w:lineRule="auto"/>
              <w:contextualSpacing/>
              <w:rPr>
                <w:rFonts w:ascii="Times New Roman" w:hAnsi="Times New Roman" w:cs="Times New Roman"/>
                <w:lang w:val="ru-RU"/>
              </w:rPr>
            </w:pPr>
          </w:p>
        </w:tc>
      </w:tr>
      <w:tr w:rsidR="008451C4" w:rsidRPr="008451C4" w14:paraId="6B638EDD" w14:textId="77777777" w:rsidTr="008451C4">
        <w:tblPrEx>
          <w:tblLook w:val="0000" w:firstRow="0" w:lastRow="0" w:firstColumn="0" w:lastColumn="0" w:noHBand="0" w:noVBand="0"/>
        </w:tblPrEx>
        <w:trPr>
          <w:trHeight w:val="710"/>
        </w:trPr>
        <w:tc>
          <w:tcPr>
            <w:tcW w:w="351" w:type="pct"/>
          </w:tcPr>
          <w:p w14:paraId="1036C0D2" w14:textId="10D39B12" w:rsidR="008451C4" w:rsidRPr="008451C4" w:rsidRDefault="008451C4" w:rsidP="00CB033E">
            <w:pPr>
              <w:spacing w:line="276" w:lineRule="auto"/>
              <w:contextualSpacing/>
              <w:rPr>
                <w:rFonts w:ascii="Times New Roman" w:hAnsi="Times New Roman" w:cs="Times New Roman"/>
              </w:rPr>
            </w:pPr>
            <w:r w:rsidRPr="008451C4">
              <w:rPr>
                <w:rFonts w:ascii="Times New Roman" w:eastAsia="Times New Roman" w:hAnsi="Times New Roman" w:cs="Times New Roman"/>
                <w:lang w:eastAsia="ru-RU"/>
              </w:rPr>
              <w:lastRenderedPageBreak/>
              <w:t>7</w:t>
            </w:r>
          </w:p>
        </w:tc>
        <w:tc>
          <w:tcPr>
            <w:tcW w:w="1404" w:type="pct"/>
          </w:tcPr>
          <w:p w14:paraId="1F8FF116" w14:textId="4E0C843C" w:rsidR="008451C4" w:rsidRPr="008451C4" w:rsidRDefault="008451C4" w:rsidP="00CB033E">
            <w:pPr>
              <w:spacing w:line="276" w:lineRule="auto"/>
              <w:contextualSpacing/>
              <w:rPr>
                <w:rFonts w:ascii="Times New Roman" w:hAnsi="Times New Roman" w:cs="Times New Roman"/>
              </w:rPr>
            </w:pPr>
            <w:r w:rsidRPr="008451C4">
              <w:rPr>
                <w:rFonts w:ascii="Times New Roman" w:hAnsi="Times New Roman" w:cs="Times New Roman"/>
              </w:rPr>
              <w:t>Requirements for documentation formatting</w:t>
            </w:r>
          </w:p>
        </w:tc>
        <w:tc>
          <w:tcPr>
            <w:tcW w:w="3245" w:type="pct"/>
          </w:tcPr>
          <w:p w14:paraId="229502EA"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commercial proposal must be sufficiently detailed and include information on the following:</w:t>
            </w:r>
            <w:r w:rsidRPr="001456CB">
              <w:rPr>
                <w:rFonts w:ascii="Times New Roman" w:eastAsia="Times New Roman" w:hAnsi="Times New Roman" w:cs="Times New Roman"/>
                <w:lang w:eastAsia="ru-RU"/>
              </w:rPr>
              <w:br/>
              <w:t>• Engineering and geological surveys;</w:t>
            </w:r>
            <w:r w:rsidRPr="001456CB">
              <w:rPr>
                <w:rFonts w:ascii="Times New Roman" w:eastAsia="Times New Roman" w:hAnsi="Times New Roman" w:cs="Times New Roman"/>
                <w:lang w:eastAsia="ru-RU"/>
              </w:rPr>
              <w:br/>
              <w:t>• Structural calculations and design;</w:t>
            </w:r>
            <w:r w:rsidRPr="001456CB">
              <w:rPr>
                <w:rFonts w:ascii="Times New Roman" w:eastAsia="Times New Roman" w:hAnsi="Times New Roman" w:cs="Times New Roman"/>
                <w:lang w:eastAsia="ru-RU"/>
              </w:rPr>
              <w:br/>
              <w:t>• Manufacturing of each module with a list of required materials and equipment;</w:t>
            </w:r>
            <w:r w:rsidRPr="001456CB">
              <w:rPr>
                <w:rFonts w:ascii="Times New Roman" w:eastAsia="Times New Roman" w:hAnsi="Times New Roman" w:cs="Times New Roman"/>
                <w:lang w:eastAsia="ru-RU"/>
              </w:rPr>
              <w:br/>
              <w:t>• Delivery of modules and components to the work site;</w:t>
            </w:r>
            <w:r w:rsidRPr="001456CB">
              <w:rPr>
                <w:rFonts w:ascii="Times New Roman" w:eastAsia="Times New Roman" w:hAnsi="Times New Roman" w:cs="Times New Roman"/>
                <w:lang w:eastAsia="ru-RU"/>
              </w:rPr>
              <w:br/>
              <w:t>• Cost of construction and installation works.</w:t>
            </w:r>
          </w:p>
          <w:p w14:paraId="499D9D5B"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cost estimate must be provided itemized by each work volume section.</w:t>
            </w:r>
            <w:r w:rsidRPr="001456CB">
              <w:rPr>
                <w:rFonts w:ascii="Times New Roman" w:eastAsia="Times New Roman" w:hAnsi="Times New Roman" w:cs="Times New Roman"/>
                <w:lang w:eastAsia="ru-RU"/>
              </w:rPr>
              <w:br/>
              <w:t>The Contractor may submit a commercial proposal with multiple variants of modular blocks (different dimensions, frame structures, materials used, etc.).</w:t>
            </w:r>
          </w:p>
          <w:p w14:paraId="3EAA7770"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lastRenderedPageBreak/>
              <w:t>Specify the required timelines for each work volume.</w:t>
            </w:r>
          </w:p>
          <w:p w14:paraId="2CB4D330"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manufacturing Contractor shall provide product passports, manufacturer certificates for materials and equipment used, and for materials subject to mandatory certification — certificates of conformity valid within the territory of the Kyrgyz Republic.</w:t>
            </w:r>
          </w:p>
          <w:p w14:paraId="3016A790"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u w:val="single"/>
                <w:lang w:eastAsia="ru-RU"/>
              </w:rPr>
              <w:t>Requirements for work completion certificates</w:t>
            </w:r>
            <w:r w:rsidRPr="001456CB">
              <w:rPr>
                <w:rFonts w:ascii="Times New Roman" w:eastAsia="Times New Roman" w:hAnsi="Times New Roman" w:cs="Times New Roman"/>
                <w:lang w:eastAsia="ru-RU"/>
              </w:rPr>
              <w:t>:</w:t>
            </w:r>
            <w:r w:rsidRPr="001456CB">
              <w:rPr>
                <w:rFonts w:ascii="Times New Roman" w:eastAsia="Times New Roman" w:hAnsi="Times New Roman" w:cs="Times New Roman"/>
                <w:lang w:eastAsia="ru-RU"/>
              </w:rPr>
              <w:br/>
              <w:t>Work completion certificates (hereinafter — WCC) shall be submitted in KS-2 and KS-3 forms (in both paper and electronic format).</w:t>
            </w:r>
            <w:r w:rsidRPr="001456CB">
              <w:rPr>
                <w:rFonts w:ascii="Times New Roman" w:eastAsia="Times New Roman" w:hAnsi="Times New Roman" w:cs="Times New Roman"/>
                <w:lang w:eastAsia="ru-RU"/>
              </w:rPr>
              <w:br/>
              <w:t>Each WCC shall be accompanied by supporting documentation: as-built documentation (as-built drawings, concealed works inspection reports, laboratory test results, certificates of conformity and quality for materials and equipment used, equipment passports (with HS Code indicated for imported goods), documents confirming the cost of materials and equipment (invoices, purchase acts, supply contracts, cash receipts, payment receipts, etc.), and documents confirming travel expenses, personnel transportation costs, winter cost increases, unforeseen expenses, and costs for temporary buildings and structures.</w:t>
            </w:r>
          </w:p>
          <w:p w14:paraId="1E0985BD" w14:textId="77777777" w:rsidR="00CB033E" w:rsidRPr="00CB033E" w:rsidRDefault="008451C4" w:rsidP="00CB033E">
            <w:pPr>
              <w:numPr>
                <w:ilvl w:val="0"/>
                <w:numId w:val="21"/>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The cost of materials and equipment, their quality characteristics, and quantities must comply with the design and cost estimate documentation.</w:t>
            </w:r>
          </w:p>
          <w:p w14:paraId="47B7A5E1" w14:textId="6E5C5CD4" w:rsidR="008451C4" w:rsidRPr="008451C4" w:rsidRDefault="008451C4" w:rsidP="00CB033E">
            <w:pPr>
              <w:numPr>
                <w:ilvl w:val="0"/>
                <w:numId w:val="21"/>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The Contractor is responsible for procurement of materials and equipment in accordance with the estimated cost; in case of cost overruns, the Contractor must compensate the losses.</w:t>
            </w:r>
          </w:p>
        </w:tc>
      </w:tr>
      <w:tr w:rsidR="008451C4" w:rsidRPr="00CB04F5" w14:paraId="6E3241D2" w14:textId="77777777" w:rsidTr="008451C4">
        <w:tblPrEx>
          <w:tblLook w:val="0000" w:firstRow="0" w:lastRow="0" w:firstColumn="0" w:lastColumn="0" w:noHBand="0" w:noVBand="0"/>
        </w:tblPrEx>
        <w:trPr>
          <w:trHeight w:val="593"/>
        </w:trPr>
        <w:tc>
          <w:tcPr>
            <w:tcW w:w="351" w:type="pct"/>
          </w:tcPr>
          <w:p w14:paraId="656CA43A" w14:textId="72236451"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lastRenderedPageBreak/>
              <w:t>8</w:t>
            </w:r>
          </w:p>
        </w:tc>
        <w:tc>
          <w:tcPr>
            <w:tcW w:w="1404" w:type="pct"/>
          </w:tcPr>
          <w:p w14:paraId="13E52D4C" w14:textId="05087BDA" w:rsidR="008451C4" w:rsidRPr="008451C4"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Payment Terms and Work Execution Period</w:t>
            </w:r>
          </w:p>
        </w:tc>
        <w:tc>
          <w:tcPr>
            <w:tcW w:w="3245" w:type="pct"/>
          </w:tcPr>
          <w:p w14:paraId="5A07897C" w14:textId="30B7408C"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To be defined in the Contract.</w:t>
            </w:r>
          </w:p>
        </w:tc>
      </w:tr>
      <w:tr w:rsidR="008451C4" w:rsidRPr="008451C4" w14:paraId="3B679806" w14:textId="77777777" w:rsidTr="008451C4">
        <w:tblPrEx>
          <w:tblLook w:val="0000" w:firstRow="0" w:lastRow="0" w:firstColumn="0" w:lastColumn="0" w:noHBand="0" w:noVBand="0"/>
        </w:tblPrEx>
        <w:trPr>
          <w:trHeight w:val="60"/>
        </w:trPr>
        <w:tc>
          <w:tcPr>
            <w:tcW w:w="351" w:type="pct"/>
          </w:tcPr>
          <w:p w14:paraId="19140516" w14:textId="44BA97D5"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9</w:t>
            </w:r>
          </w:p>
        </w:tc>
        <w:tc>
          <w:tcPr>
            <w:tcW w:w="1404" w:type="pct"/>
          </w:tcPr>
          <w:p w14:paraId="3013D0C5" w14:textId="7E05DED5" w:rsidR="008451C4" w:rsidRPr="008451C4"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Materials and Services Provided by the Customer</w:t>
            </w:r>
          </w:p>
        </w:tc>
        <w:tc>
          <w:tcPr>
            <w:tcW w:w="3245" w:type="pct"/>
          </w:tcPr>
          <w:p w14:paraId="0FC94804" w14:textId="77777777" w:rsidR="008451C4" w:rsidRPr="001456CB" w:rsidRDefault="008451C4" w:rsidP="00CB033E">
            <w:pPr>
              <w:numPr>
                <w:ilvl w:val="0"/>
                <w:numId w:val="22"/>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Sketch layout schemes.</w:t>
            </w:r>
          </w:p>
          <w:p w14:paraId="37DC7A8D" w14:textId="77777777" w:rsidR="008451C4" w:rsidRPr="001456CB" w:rsidRDefault="008451C4" w:rsidP="00CB033E">
            <w:pPr>
              <w:numPr>
                <w:ilvl w:val="0"/>
                <w:numId w:val="22"/>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Urban Planning Conclusion (provided during the design process).</w:t>
            </w:r>
          </w:p>
          <w:p w14:paraId="08F3B416" w14:textId="77777777" w:rsidR="008451C4" w:rsidRPr="008451C4" w:rsidRDefault="008451C4" w:rsidP="00CB033E">
            <w:pPr>
              <w:numPr>
                <w:ilvl w:val="0"/>
                <w:numId w:val="22"/>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Sections of the Working Project of the existing camp.</w:t>
            </w:r>
          </w:p>
          <w:p w14:paraId="7EE53D24" w14:textId="08506AF7" w:rsidR="008451C4" w:rsidRPr="008451C4" w:rsidRDefault="008451C4" w:rsidP="00CB033E">
            <w:pPr>
              <w:numPr>
                <w:ilvl w:val="0"/>
                <w:numId w:val="22"/>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Other additional data required during the design process.</w:t>
            </w:r>
          </w:p>
        </w:tc>
      </w:tr>
      <w:tr w:rsidR="008451C4" w:rsidRPr="008451C4" w14:paraId="0A1D35B8" w14:textId="77777777" w:rsidTr="008451C4">
        <w:tblPrEx>
          <w:tblLook w:val="0000" w:firstRow="0" w:lastRow="0" w:firstColumn="0" w:lastColumn="0" w:noHBand="0" w:noVBand="0"/>
        </w:tblPrEx>
        <w:trPr>
          <w:trHeight w:val="2339"/>
        </w:trPr>
        <w:tc>
          <w:tcPr>
            <w:tcW w:w="351" w:type="pct"/>
          </w:tcPr>
          <w:p w14:paraId="103FE118" w14:textId="443A9FAD"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lastRenderedPageBreak/>
              <w:t>10</w:t>
            </w:r>
          </w:p>
        </w:tc>
        <w:tc>
          <w:tcPr>
            <w:tcW w:w="1404" w:type="pct"/>
          </w:tcPr>
          <w:p w14:paraId="7DAB110F" w14:textId="36161F13" w:rsidR="008451C4" w:rsidRPr="008451C4"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Conditions for Work Execution at the Mine Site</w:t>
            </w:r>
          </w:p>
        </w:tc>
        <w:tc>
          <w:tcPr>
            <w:tcW w:w="3245" w:type="pct"/>
          </w:tcPr>
          <w:p w14:paraId="2E4E70F1" w14:textId="77777777" w:rsidR="008451C4" w:rsidRPr="001456CB" w:rsidRDefault="008451C4" w:rsidP="00CB033E">
            <w:pPr>
              <w:numPr>
                <w:ilvl w:val="0"/>
                <w:numId w:val="23"/>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Accommodation and meals for the Contractor’s personnel performing construction and installation works at the site are provided at the expense of the Customer. For downtime or delays beyond the schedule due to the Contractor’s fault, accommodation and meals shall be at the Contractor’s expense, with subsequent deduction from the contract value.</w:t>
            </w:r>
          </w:p>
          <w:p w14:paraId="124FA48C" w14:textId="77777777" w:rsidR="008451C4" w:rsidRPr="001456CB" w:rsidRDefault="008451C4" w:rsidP="00CB033E">
            <w:pPr>
              <w:numPr>
                <w:ilvl w:val="0"/>
                <w:numId w:val="23"/>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Provision of special personal protective equipment for the Contractor’s personnel shall be at the expense and responsibility of the Contractor.</w:t>
            </w:r>
          </w:p>
          <w:p w14:paraId="14683DEB" w14:textId="77777777" w:rsidR="008451C4" w:rsidRPr="001456CB" w:rsidRDefault="008451C4" w:rsidP="00CB033E">
            <w:pPr>
              <w:numPr>
                <w:ilvl w:val="0"/>
                <w:numId w:val="23"/>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Cranes and other necessary machinery with operators are provided at the expense of the Contractor.</w:t>
            </w:r>
          </w:p>
          <w:p w14:paraId="00CD1989" w14:textId="77777777" w:rsidR="008451C4" w:rsidRPr="008451C4" w:rsidRDefault="008451C4" w:rsidP="00CB033E">
            <w:pPr>
              <w:numPr>
                <w:ilvl w:val="0"/>
                <w:numId w:val="23"/>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Tools and equipment required for construction and installation works shall be provided by the Contractor.</w:t>
            </w:r>
          </w:p>
          <w:p w14:paraId="76ADF1AB" w14:textId="57594DFF" w:rsidR="008451C4" w:rsidRPr="008451C4" w:rsidRDefault="008451C4" w:rsidP="00CB033E">
            <w:pPr>
              <w:numPr>
                <w:ilvl w:val="0"/>
                <w:numId w:val="23"/>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Liability of the Parties for violation of conditions and the procedure for dispute resolution shall be regulated in accordance with the legislation of the Kyrgyz Republic.</w:t>
            </w:r>
          </w:p>
        </w:tc>
      </w:tr>
    </w:tbl>
    <w:p w14:paraId="1DA28C6B" w14:textId="77777777" w:rsidR="007B1F57" w:rsidRPr="008451C4" w:rsidRDefault="007B1F57" w:rsidP="00CB033E">
      <w:pPr>
        <w:spacing w:line="276" w:lineRule="auto"/>
      </w:pPr>
    </w:p>
    <w:p w14:paraId="781BFD03" w14:textId="77777777" w:rsidR="00CD0015" w:rsidRPr="008451C4" w:rsidRDefault="00CD0015" w:rsidP="00CB033E">
      <w:pPr>
        <w:spacing w:line="276" w:lineRule="auto"/>
      </w:pPr>
    </w:p>
    <w:sectPr w:rsidR="00CD0015" w:rsidRPr="008451C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220F3"/>
    <w:multiLevelType w:val="multilevel"/>
    <w:tmpl w:val="8232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4"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A458A"/>
    <w:multiLevelType w:val="multilevel"/>
    <w:tmpl w:val="1DCC7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7"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8"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F30BA"/>
    <w:multiLevelType w:val="multilevel"/>
    <w:tmpl w:val="3842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1"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2"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3"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4" w15:restartNumberingAfterBreak="0">
    <w:nsid w:val="55FA31CA"/>
    <w:multiLevelType w:val="multilevel"/>
    <w:tmpl w:val="9270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996C1B"/>
    <w:multiLevelType w:val="multilevel"/>
    <w:tmpl w:val="1B46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66998"/>
    <w:multiLevelType w:val="multilevel"/>
    <w:tmpl w:val="661003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8353E5"/>
    <w:multiLevelType w:val="multilevel"/>
    <w:tmpl w:val="76344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0245E"/>
    <w:multiLevelType w:val="multilevel"/>
    <w:tmpl w:val="C43C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05B2761"/>
    <w:multiLevelType w:val="multilevel"/>
    <w:tmpl w:val="EC1C9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8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203645">
    <w:abstractNumId w:val="8"/>
  </w:num>
  <w:num w:numId="3" w16cid:durableId="1832479558">
    <w:abstractNumId w:val="18"/>
  </w:num>
  <w:num w:numId="4" w16cid:durableId="1183013814">
    <w:abstractNumId w:val="20"/>
  </w:num>
  <w:num w:numId="5" w16cid:durableId="1353607083">
    <w:abstractNumId w:val="22"/>
  </w:num>
  <w:num w:numId="6" w16cid:durableId="63919775">
    <w:abstractNumId w:val="11"/>
  </w:num>
  <w:num w:numId="7" w16cid:durableId="1488979796">
    <w:abstractNumId w:val="1"/>
  </w:num>
  <w:num w:numId="8" w16cid:durableId="391076074">
    <w:abstractNumId w:val="4"/>
  </w:num>
  <w:num w:numId="9" w16cid:durableId="509106900">
    <w:abstractNumId w:val="12"/>
  </w:num>
  <w:num w:numId="10" w16cid:durableId="857699524">
    <w:abstractNumId w:val="3"/>
  </w:num>
  <w:num w:numId="11" w16cid:durableId="1941064152">
    <w:abstractNumId w:val="7"/>
  </w:num>
  <w:num w:numId="12" w16cid:durableId="1023747171">
    <w:abstractNumId w:val="6"/>
  </w:num>
  <w:num w:numId="13" w16cid:durableId="2065446209">
    <w:abstractNumId w:val="13"/>
  </w:num>
  <w:num w:numId="14" w16cid:durableId="1536577451">
    <w:abstractNumId w:val="10"/>
  </w:num>
  <w:num w:numId="15" w16cid:durableId="105775140">
    <w:abstractNumId w:val="15"/>
  </w:num>
  <w:num w:numId="16" w16cid:durableId="157310374">
    <w:abstractNumId w:val="14"/>
  </w:num>
  <w:num w:numId="17" w16cid:durableId="1469740957">
    <w:abstractNumId w:val="2"/>
  </w:num>
  <w:num w:numId="18" w16cid:durableId="1720279564">
    <w:abstractNumId w:val="19"/>
  </w:num>
  <w:num w:numId="19" w16cid:durableId="487477243">
    <w:abstractNumId w:val="5"/>
  </w:num>
  <w:num w:numId="20" w16cid:durableId="1157575820">
    <w:abstractNumId w:val="16"/>
  </w:num>
  <w:num w:numId="21" w16cid:durableId="1579753995">
    <w:abstractNumId w:val="17"/>
  </w:num>
  <w:num w:numId="22" w16cid:durableId="1931696607">
    <w:abstractNumId w:val="21"/>
  </w:num>
  <w:num w:numId="23" w16cid:durableId="20099419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F57"/>
    <w:rsid w:val="00022B2A"/>
    <w:rsid w:val="000D3654"/>
    <w:rsid w:val="001048D1"/>
    <w:rsid w:val="001573F0"/>
    <w:rsid w:val="002015A1"/>
    <w:rsid w:val="0027172F"/>
    <w:rsid w:val="00275E09"/>
    <w:rsid w:val="003A7B57"/>
    <w:rsid w:val="004B4D11"/>
    <w:rsid w:val="0050336E"/>
    <w:rsid w:val="00735E49"/>
    <w:rsid w:val="0077641D"/>
    <w:rsid w:val="0079255B"/>
    <w:rsid w:val="007B1F57"/>
    <w:rsid w:val="007E79E2"/>
    <w:rsid w:val="008451C4"/>
    <w:rsid w:val="009447D1"/>
    <w:rsid w:val="00B422F0"/>
    <w:rsid w:val="00C36314"/>
    <w:rsid w:val="00CB033E"/>
    <w:rsid w:val="00CD0015"/>
    <w:rsid w:val="00CF7B54"/>
    <w:rsid w:val="00D85F43"/>
    <w:rsid w:val="00D97B91"/>
    <w:rsid w:val="00DC2B92"/>
    <w:rsid w:val="00E00B3B"/>
    <w:rsid w:val="00F328F8"/>
    <w:rsid w:val="00FF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FF91"/>
  <w15:docId w15:val="{B98A4DC7-1605-4402-9684-0DA3956C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F57"/>
  </w:style>
  <w:style w:type="paragraph" w:styleId="1">
    <w:name w:val="heading 1"/>
    <w:basedOn w:val="a"/>
    <w:next w:val="a"/>
    <w:link w:val="10"/>
    <w:uiPriority w:val="9"/>
    <w:qFormat/>
    <w:rsid w:val="007B1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1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1F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1F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1F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1F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1F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1F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1F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F5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1F5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1F5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1F5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1F5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1F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1F57"/>
    <w:rPr>
      <w:rFonts w:eastAsiaTheme="majorEastAsia" w:cstheme="majorBidi"/>
      <w:color w:val="595959" w:themeColor="text1" w:themeTint="A6"/>
    </w:rPr>
  </w:style>
  <w:style w:type="character" w:customStyle="1" w:styleId="80">
    <w:name w:val="Заголовок 8 Знак"/>
    <w:basedOn w:val="a0"/>
    <w:link w:val="8"/>
    <w:uiPriority w:val="9"/>
    <w:semiHidden/>
    <w:rsid w:val="007B1F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1F57"/>
    <w:rPr>
      <w:rFonts w:eastAsiaTheme="majorEastAsia" w:cstheme="majorBidi"/>
      <w:color w:val="272727" w:themeColor="text1" w:themeTint="D8"/>
    </w:rPr>
  </w:style>
  <w:style w:type="paragraph" w:styleId="a3">
    <w:name w:val="Title"/>
    <w:basedOn w:val="a"/>
    <w:next w:val="a"/>
    <w:link w:val="a4"/>
    <w:uiPriority w:val="10"/>
    <w:qFormat/>
    <w:rsid w:val="007B1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1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F5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1F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1F57"/>
    <w:pPr>
      <w:spacing w:before="160"/>
      <w:jc w:val="center"/>
    </w:pPr>
    <w:rPr>
      <w:i/>
      <w:iCs/>
      <w:color w:val="404040" w:themeColor="text1" w:themeTint="BF"/>
    </w:rPr>
  </w:style>
  <w:style w:type="character" w:customStyle="1" w:styleId="22">
    <w:name w:val="Цитата 2 Знак"/>
    <w:basedOn w:val="a0"/>
    <w:link w:val="21"/>
    <w:uiPriority w:val="29"/>
    <w:rsid w:val="007B1F57"/>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7B1F57"/>
    <w:pPr>
      <w:ind w:left="720"/>
      <w:contextualSpacing/>
    </w:pPr>
  </w:style>
  <w:style w:type="character" w:styleId="a9">
    <w:name w:val="Intense Emphasis"/>
    <w:basedOn w:val="a0"/>
    <w:uiPriority w:val="21"/>
    <w:qFormat/>
    <w:rsid w:val="007B1F57"/>
    <w:rPr>
      <w:i/>
      <w:iCs/>
      <w:color w:val="0F4761" w:themeColor="accent1" w:themeShade="BF"/>
    </w:rPr>
  </w:style>
  <w:style w:type="paragraph" w:styleId="aa">
    <w:name w:val="Intense Quote"/>
    <w:basedOn w:val="a"/>
    <w:next w:val="a"/>
    <w:link w:val="ab"/>
    <w:uiPriority w:val="30"/>
    <w:qFormat/>
    <w:rsid w:val="007B1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B1F57"/>
    <w:rPr>
      <w:i/>
      <w:iCs/>
      <w:color w:val="0F4761" w:themeColor="accent1" w:themeShade="BF"/>
    </w:rPr>
  </w:style>
  <w:style w:type="character" w:styleId="ac">
    <w:name w:val="Intense Reference"/>
    <w:basedOn w:val="a0"/>
    <w:uiPriority w:val="32"/>
    <w:qFormat/>
    <w:rsid w:val="007B1F57"/>
    <w:rPr>
      <w:b/>
      <w:bCs/>
      <w:smallCaps/>
      <w:color w:val="0F4761" w:themeColor="accent1" w:themeShade="BF"/>
      <w:spacing w:val="5"/>
    </w:rPr>
  </w:style>
  <w:style w:type="character" w:styleId="ad">
    <w:name w:val="Hyperlink"/>
    <w:basedOn w:val="a0"/>
    <w:uiPriority w:val="99"/>
    <w:unhideWhenUsed/>
    <w:rsid w:val="007B1F57"/>
    <w:rPr>
      <w:color w:val="467886" w:themeColor="hyperlink"/>
      <w:u w:val="single"/>
    </w:rPr>
  </w:style>
  <w:style w:type="paragraph" w:styleId="ae">
    <w:name w:val="Normal (Web)"/>
    <w:basedOn w:val="a"/>
    <w:uiPriority w:val="99"/>
    <w:unhideWhenUsed/>
    <w:rsid w:val="007B1F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7B1F57"/>
    <w:rPr>
      <w:b/>
      <w:bCs/>
    </w:rPr>
  </w:style>
  <w:style w:type="character" w:styleId="af0">
    <w:name w:val="annotation reference"/>
    <w:basedOn w:val="a0"/>
    <w:uiPriority w:val="99"/>
    <w:semiHidden/>
    <w:unhideWhenUsed/>
    <w:rsid w:val="007B1F57"/>
    <w:rPr>
      <w:sz w:val="16"/>
      <w:szCs w:val="16"/>
    </w:rPr>
  </w:style>
  <w:style w:type="paragraph" w:styleId="af1">
    <w:name w:val="annotation text"/>
    <w:basedOn w:val="a"/>
    <w:link w:val="af2"/>
    <w:uiPriority w:val="99"/>
    <w:unhideWhenUsed/>
    <w:rsid w:val="007B1F57"/>
    <w:pPr>
      <w:spacing w:line="240" w:lineRule="auto"/>
    </w:pPr>
    <w:rPr>
      <w:sz w:val="20"/>
      <w:szCs w:val="20"/>
    </w:rPr>
  </w:style>
  <w:style w:type="character" w:customStyle="1" w:styleId="af2">
    <w:name w:val="Текст примечания Знак"/>
    <w:basedOn w:val="a0"/>
    <w:link w:val="af1"/>
    <w:uiPriority w:val="99"/>
    <w:rsid w:val="007B1F57"/>
    <w:rPr>
      <w:sz w:val="20"/>
      <w:szCs w:val="20"/>
    </w:r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7B1F57"/>
  </w:style>
  <w:style w:type="paragraph" w:styleId="af3">
    <w:name w:val="Body Text"/>
    <w:basedOn w:val="a"/>
    <w:link w:val="af4"/>
    <w:rsid w:val="007B1F57"/>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7B1F57"/>
    <w:rPr>
      <w:rFonts w:ascii="Times New Roman" w:eastAsia="Times New Roman" w:hAnsi="Times New Roman" w:cs="Times New Roman"/>
      <w:kern w:val="0"/>
      <w:sz w:val="28"/>
      <w:szCs w:val="20"/>
      <w:lang w:val="ru-RU" w:eastAsia="ru-RU"/>
      <w14:ligatures w14:val="none"/>
    </w:rPr>
  </w:style>
  <w:style w:type="paragraph" w:styleId="af5">
    <w:name w:val="Balloon Text"/>
    <w:basedOn w:val="a"/>
    <w:link w:val="af6"/>
    <w:uiPriority w:val="99"/>
    <w:semiHidden/>
    <w:unhideWhenUsed/>
    <w:rsid w:val="000D365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D3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5035</Words>
  <Characters>28706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Gulnur Shirdakova</dc:creator>
  <cp:lastModifiedBy>Asus Vivobook</cp:lastModifiedBy>
  <cp:revision>22</cp:revision>
  <dcterms:created xsi:type="dcterms:W3CDTF">2025-10-31T06:56:00Z</dcterms:created>
  <dcterms:modified xsi:type="dcterms:W3CDTF">2025-11-17T06:43:00Z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2025-10-29T10:11:42Z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5d90d4ae-ed6b-413d-b2a2-552d9349a517</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