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75CD" w14:textId="4C620858" w:rsidR="00901C4F" w:rsidRDefault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090115" w14:textId="77777777" w:rsidR="00901C4F" w:rsidRDefault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9DDE4C" w14:textId="74508AC7" w:rsidR="00901C4F" w:rsidRPr="00386E0B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86E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ЧАКЫРУУГА </w:t>
      </w:r>
      <w:r w:rsidR="007A45D2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№</w:t>
      </w:r>
      <w:r w:rsidR="00765DC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386E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ТИРКЕМЕ</w:t>
      </w:r>
    </w:p>
    <w:p w14:paraId="5F2E5FEC" w14:textId="165EA7E8" w:rsidR="00591B50" w:rsidRDefault="00901C4F" w:rsidP="00591B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386E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ЛОТ</w:t>
      </w:r>
      <w:r w:rsidR="00386E0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ТОРГО</w:t>
      </w:r>
      <w:r w:rsidRPr="00386E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5A210A1" w14:textId="06B43B4B" w:rsidR="00386E0B" w:rsidRPr="00386E0B" w:rsidRDefault="00386E0B" w:rsidP="00591B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БАА СУНУШУ</w:t>
      </w:r>
    </w:p>
    <w:p w14:paraId="5180AABB" w14:textId="24FCAB14" w:rsidR="00901C4F" w:rsidRPr="00807DE9" w:rsidRDefault="00807DE9" w:rsidP="003E4B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807DE9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№1 </w:t>
      </w:r>
    </w:p>
    <w:p w14:paraId="502299AE" w14:textId="77777777" w:rsidR="00901C4F" w:rsidRPr="00807DE9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14:paraId="5A6E8891" w14:textId="77777777" w:rsidR="00901C4F" w:rsidRPr="00807DE9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ky-KG"/>
        </w:rPr>
      </w:pPr>
    </w:p>
    <w:p w14:paraId="5D7A1324" w14:textId="6CD22A07" w:rsidR="00901C4F" w:rsidRPr="00807DE9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807DE9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ЖЕТКИРҮҮНҮН ШАРТТАРЫ</w:t>
      </w:r>
      <w:r w:rsidR="00807DE9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ЖАНА МӨӨНӨТҮ</w:t>
      </w:r>
    </w:p>
    <w:p w14:paraId="2F3D3E92" w14:textId="77777777" w:rsidR="00901C4F" w:rsidRPr="00807DE9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14:paraId="5B962F7E" w14:textId="77777777" w:rsidR="00901C4F" w:rsidRPr="00807DE9" w:rsidRDefault="00901C4F" w:rsidP="00901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415"/>
        <w:gridCol w:w="1115"/>
        <w:gridCol w:w="1650"/>
        <w:gridCol w:w="1650"/>
        <w:gridCol w:w="1739"/>
      </w:tblGrid>
      <w:tr w:rsidR="00901C4F" w:rsidRPr="00765DC8" w14:paraId="2E99F872" w14:textId="77777777" w:rsidTr="00870678">
        <w:tc>
          <w:tcPr>
            <w:tcW w:w="551" w:type="dxa"/>
          </w:tcPr>
          <w:p w14:paraId="2BA8E76A" w14:textId="2CCCF968" w:rsidR="00901C4F" w:rsidRPr="00807DE9" w:rsidRDefault="00807DE9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2990" w:type="dxa"/>
          </w:tcPr>
          <w:p w14:paraId="09C2A3E7" w14:textId="449AC183" w:rsidR="00901C4F" w:rsidRPr="00797ED5" w:rsidRDefault="008A07AD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Товарлардын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сүрөттөмөсү</w:t>
            </w:r>
            <w:proofErr w:type="spellEnd"/>
          </w:p>
        </w:tc>
        <w:tc>
          <w:tcPr>
            <w:tcW w:w="956" w:type="dxa"/>
          </w:tcPr>
          <w:p w14:paraId="0B1698F5" w14:textId="0EFE1982" w:rsidR="00901C4F" w:rsidRPr="00797ED5" w:rsidRDefault="008A07AD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Өлчөө бирдиги</w:t>
            </w:r>
          </w:p>
        </w:tc>
        <w:tc>
          <w:tcPr>
            <w:tcW w:w="1337" w:type="dxa"/>
          </w:tcPr>
          <w:p w14:paraId="7CF69FC7" w14:textId="4D36912B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Салыктарды</w:t>
            </w:r>
            <w:proofErr w:type="spellEnd"/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кошпогондо</w:t>
            </w:r>
            <w:proofErr w:type="spellEnd"/>
            <w:r w:rsidR="008A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proofErr w:type="gramStart"/>
            <w:r w:rsidR="008A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баа, </w:t>
            </w:r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сом</w:t>
            </w:r>
            <w:proofErr w:type="spellEnd"/>
            <w:proofErr w:type="gramEnd"/>
          </w:p>
        </w:tc>
        <w:tc>
          <w:tcPr>
            <w:tcW w:w="1545" w:type="dxa"/>
          </w:tcPr>
          <w:p w14:paraId="1C5C9F04" w14:textId="7A200294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Салыктарды</w:t>
            </w:r>
            <w:proofErr w:type="spellEnd"/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кошкондо</w:t>
            </w:r>
            <w:proofErr w:type="spellEnd"/>
            <w:r w:rsidR="001D2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баа</w:t>
            </w:r>
            <w:r w:rsidR="007F2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, </w:t>
            </w:r>
            <w:r w:rsidR="001D2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сом</w:t>
            </w:r>
          </w:p>
        </w:tc>
        <w:tc>
          <w:tcPr>
            <w:tcW w:w="1675" w:type="dxa"/>
          </w:tcPr>
          <w:p w14:paraId="284D0A89" w14:textId="274F1D83" w:rsidR="00901C4F" w:rsidRPr="00797ED5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Бардык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колдонулуучу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салыктарды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жана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Сатып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алуучунун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кампасына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жеткирүүнү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кошкондо</w:t>
            </w:r>
            <w:proofErr w:type="spellEnd"/>
            <w:r w:rsidR="007F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="007F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баа</w:t>
            </w:r>
            <w:proofErr w:type="spellEnd"/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="007F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70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сом</w:t>
            </w:r>
          </w:p>
        </w:tc>
      </w:tr>
      <w:tr w:rsidR="00901C4F" w:rsidRPr="00797ED5" w14:paraId="2A1CCB71" w14:textId="77777777" w:rsidTr="00870678">
        <w:tc>
          <w:tcPr>
            <w:tcW w:w="551" w:type="dxa"/>
          </w:tcPr>
          <w:p w14:paraId="63DCFC9D" w14:textId="77777777" w:rsidR="00901C4F" w:rsidRPr="00797ED5" w:rsidRDefault="00901C4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2FD3ECA7" w14:textId="77777777" w:rsidR="00901C4F" w:rsidRPr="00F761BE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14:paraId="702A7F6F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14:paraId="2967AB14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14:paraId="091AEB85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14:paraId="68CA0B34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C4F" w:rsidRPr="00797ED5" w14:paraId="5BC451FD" w14:textId="77777777" w:rsidTr="00870678">
        <w:trPr>
          <w:trHeight w:val="224"/>
        </w:trPr>
        <w:tc>
          <w:tcPr>
            <w:tcW w:w="551" w:type="dxa"/>
          </w:tcPr>
          <w:p w14:paraId="2DB58A10" w14:textId="77777777" w:rsidR="00901C4F" w:rsidRPr="00797ED5" w:rsidRDefault="00901C4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vAlign w:val="center"/>
          </w:tcPr>
          <w:p w14:paraId="287E63C0" w14:textId="77777777" w:rsidR="00901C4F" w:rsidRPr="00F761BE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14:paraId="13C591B9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14:paraId="1D7418F0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14:paraId="09ED618B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14:paraId="72C3C75E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1C4F" w:rsidRPr="00797ED5" w14:paraId="6FFF4710" w14:textId="77777777" w:rsidTr="00870678">
        <w:tc>
          <w:tcPr>
            <w:tcW w:w="551" w:type="dxa"/>
          </w:tcPr>
          <w:p w14:paraId="158A4608" w14:textId="77777777" w:rsidR="00901C4F" w:rsidRPr="00797ED5" w:rsidRDefault="00901C4F" w:rsidP="00870678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14:paraId="74AD62B1" w14:textId="77777777" w:rsidR="00901C4F" w:rsidRPr="00F761BE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14:paraId="3AB00C93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14:paraId="0EDF2904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14:paraId="2235281E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14:paraId="6C50BA12" w14:textId="77777777" w:rsidR="00901C4F" w:rsidRPr="00797ED5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F561AD6" w14:textId="77777777" w:rsidR="00901C4F" w:rsidRPr="00797ED5" w:rsidRDefault="00901C4F" w:rsidP="00901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15505E7C" w14:textId="7338E686" w:rsidR="00901C4F" w:rsidRPr="00437655" w:rsidRDefault="00901C4F" w:rsidP="00901C4F">
      <w:pPr>
        <w:numPr>
          <w:ilvl w:val="0"/>
          <w:numId w:val="1"/>
        </w:numPr>
        <w:tabs>
          <w:tab w:val="num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Товарды</w:t>
      </w:r>
      <w:proofErr w:type="spellEnd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жеткирүү</w:t>
      </w:r>
      <w:proofErr w:type="spellEnd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:</w:t>
      </w:r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F2B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</w:t>
      </w:r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рүүчү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алуучунун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алдын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ала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өтүнүчү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боюнча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өзүнчө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партиялар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менен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жеткирет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Алдын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ала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өтүнмө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C6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</w:t>
      </w:r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үүчүгө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сунушталган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жеткирүү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күнүнө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чейин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5 (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беш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календардык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күндөн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кечиктирбестен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электрондук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почта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аркылуу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берилүүгө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тийиш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47456D40" w14:textId="2A350510" w:rsidR="00901C4F" w:rsidRPr="00E87925" w:rsidRDefault="00901C4F" w:rsidP="00901C4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Айып</w:t>
      </w:r>
      <w:proofErr w:type="spellEnd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пулдар</w:t>
      </w:r>
      <w:proofErr w:type="spellEnd"/>
      <w:r w:rsidRPr="000702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C6F6A">
        <w:rPr>
          <w:rFonts w:ascii="Times New Roman" w:eastAsia="Times New Roman" w:hAnsi="Times New Roman" w:cs="Times New Roman"/>
          <w:sz w:val="24"/>
          <w:szCs w:val="24"/>
          <w:lang w:val="ru-RU"/>
        </w:rPr>
        <w:t>Жетки</w:t>
      </w:r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рүүчү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тарабынан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келишимдин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шарттарын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бузган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учурда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алуучу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жеткирүүчүгө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жеткирүүнүн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суммасынын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кечиктирилген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бир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күнү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үчүн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0,1%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өлчөмүндө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айып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салууга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укуктуу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бирок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келишим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суммасынан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10%дан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ашпаган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өлчөмдө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айып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салууга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укуктуу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D7CFE8D" w14:textId="77777777" w:rsidR="00901C4F" w:rsidRPr="00797ED5" w:rsidRDefault="00901C4F" w:rsidP="00901C4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Жеткирүү</w:t>
      </w:r>
      <w:proofErr w:type="spellEnd"/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жана</w:t>
      </w:r>
      <w:proofErr w:type="spellEnd"/>
      <w:r w:rsidRPr="00797E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97ED5">
        <w:rPr>
          <w:rFonts w:ascii="Times New Roman" w:eastAsia="Times New Roman" w:hAnsi="Times New Roman" w:cs="Times New Roman"/>
          <w:b/>
          <w:sz w:val="24"/>
          <w:szCs w:val="24"/>
        </w:rPr>
        <w:t>документтер</w:t>
      </w:r>
      <w:proofErr w:type="spellEnd"/>
      <w:r w:rsidRPr="00797ED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4F3E39F1" w14:textId="49E2251A" w:rsidR="00901C4F" w:rsidRPr="00797ED5" w:rsidRDefault="00901C4F" w:rsidP="00901C4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жеткирүү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мындай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түрдөгү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товарларды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ташуу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үчүн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атайын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жабдылган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транспортто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санитардык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нормаларды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температуралык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режимдерди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сактоо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менен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алуучунун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кампасына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өткөрүп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берүү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которуу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жолу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менен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Кыргыз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Республикасы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Бишкек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шаары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Ибраимов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көчөсү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24</w:t>
      </w:r>
      <w:r w:rsidR="0075276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5276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дареги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боюнча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өз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күчтөрү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жана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каражаттары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менен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жеткирип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берүү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жүзөгө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ашырылат</w:t>
      </w:r>
      <w:proofErr w:type="spellEnd"/>
    </w:p>
    <w:p w14:paraId="2141C0C6" w14:textId="401EF8BB" w:rsidR="00901C4F" w:rsidRPr="00E87925" w:rsidRDefault="0075276B" w:rsidP="00901C4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</w:t>
      </w:r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рүүчү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бардык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документтерди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алуучуга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Техникалык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Тапшырма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жана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Келишимдин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шарттарындагы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талаптарга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ылайык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жөнөтөт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14:paraId="728D26D2" w14:textId="49FBFC6C" w:rsidR="00901C4F" w:rsidRPr="0029496C" w:rsidRDefault="00901C4F" w:rsidP="003D76BD">
      <w:pPr>
        <w:tabs>
          <w:tab w:val="num" w:pos="72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Төлөм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.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Төлөмдөр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Кыргыз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Республикасынын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Мамлекеттик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салык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кызматынын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порталында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электрондук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эсеп-фактураны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электрондук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счет-фактура)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бергенден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кийин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10 (он)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банктык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күндүн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ичинде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товар</w:t>
      </w:r>
      <w:r w:rsidR="003D76B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="003D76B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транспорттук</w:t>
      </w:r>
      <w:proofErr w:type="spellEnd"/>
      <w:r w:rsidR="003D76B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наклад</w:t>
      </w:r>
      <w:r w:rsidR="003D76B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ная</w:t>
      </w:r>
      <w:r w:rsidR="008D087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га</w:t>
      </w:r>
      <w:proofErr w:type="spellEnd"/>
      <w:r w:rsidR="003D76B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коюлгандан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кийин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иш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жүзүндө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жеткирилген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көлөмдүн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100%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өлчөмүндө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жүргүзүлөт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C173DA7" w14:textId="77777777" w:rsidR="00901C4F" w:rsidRPr="00797ED5" w:rsidRDefault="00901C4F" w:rsidP="00901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12A4F0C9" w14:textId="58EA430B" w:rsidR="00901C4F" w:rsidRPr="0029496C" w:rsidRDefault="00901C4F" w:rsidP="00901C4F">
      <w:pPr>
        <w:numPr>
          <w:ilvl w:val="0"/>
          <w:numId w:val="1"/>
        </w:num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Кабыл</w:t>
      </w:r>
      <w:proofErr w:type="spellEnd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алуу</w:t>
      </w:r>
      <w:proofErr w:type="spellEnd"/>
      <w:r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жеткирип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берүү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датасы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болуп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товарды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Кыргыз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Республикасы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Бишкек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шаары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Ибраимов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көчөсү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24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дареги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боюнча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алуучунун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кампасына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товар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накладнаясына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ылайык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кабыл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алынган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дата </w:t>
      </w:r>
      <w:proofErr w:type="spellStart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эсептелет</w:t>
      </w:r>
      <w:proofErr w:type="spellEnd"/>
      <w:r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CB5FC93" w14:textId="77777777" w:rsidR="00901C4F" w:rsidRPr="00797ED5" w:rsidRDefault="00901C4F" w:rsidP="00901C4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4CA77E06" w14:textId="4BFEE29F" w:rsidR="00901C4F" w:rsidRPr="0029496C" w:rsidRDefault="00F3340C" w:rsidP="00901C4F">
      <w:pPr>
        <w:numPr>
          <w:ilvl w:val="0"/>
          <w:numId w:val="1"/>
        </w:num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/>
        </w:rPr>
        <w:t>Кургоо</w:t>
      </w:r>
      <w:r w:rsidR="00901C4F"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Азаюу</w:t>
      </w:r>
      <w:proofErr w:type="spellEnd"/>
      <w:r w:rsidR="00901C4F" w:rsidRPr="000702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Тараптар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D77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тартылган</w:t>
      </w:r>
      <w:proofErr w:type="spellEnd"/>
      <w:r w:rsidR="009D77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салмак</w:t>
      </w:r>
      <w:proofErr w:type="spellEnd"/>
      <w:r w:rsidR="009D77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D77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боюнча</w:t>
      </w:r>
      <w:proofErr w:type="spellEnd"/>
      <w:r w:rsidR="009D77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буюмдарды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D77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жетки</w:t>
      </w:r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рүүчүлөр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Сатып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алуучуга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 (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бир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кг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салмактан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1% (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бир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пайыз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өлчөмүндө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арзандатуу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жөнүндө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макулдашышты</w:t>
      </w:r>
      <w:proofErr w:type="spellEnd"/>
      <w:r w:rsidR="00901C4F" w:rsidRPr="000702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09A983A" w14:textId="77777777" w:rsidR="00901C4F" w:rsidRPr="00797ED5" w:rsidRDefault="00901C4F" w:rsidP="00901C4F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55CEC010" w14:textId="201289D8" w:rsidR="00901C4F" w:rsidRPr="00797ED5" w:rsidRDefault="00D46255" w:rsidP="00901C4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Дефекттер</w:t>
      </w:r>
      <w:proofErr w:type="spellEnd"/>
      <w:r w:rsidR="00901C4F" w:rsidRPr="000702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Бардык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248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дефекттер</w:t>
      </w:r>
      <w:proofErr w:type="spellEnd"/>
      <w:r w:rsidR="000248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248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Жеткирүүчү</w:t>
      </w:r>
      <w:proofErr w:type="spellEnd"/>
      <w:r w:rsidR="000248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248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тарабынан</w:t>
      </w:r>
      <w:proofErr w:type="spellEnd"/>
      <w:r w:rsidR="000248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Сатып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алуучу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тарабынан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билдирилген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күндөн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тартып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күндүн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ичинде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Сатып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алуучуга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эч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кандай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чыгым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болбостон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0248F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оңдолууга</w:t>
      </w:r>
      <w:proofErr w:type="spellEnd"/>
      <w:proofErr w:type="gram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тийиш</w:t>
      </w:r>
      <w:proofErr w:type="spellEnd"/>
      <w:r w:rsidR="00901C4F" w:rsidRPr="000702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7AAFB3A" w14:textId="77777777" w:rsidR="00901C4F" w:rsidRPr="00797ED5" w:rsidRDefault="00901C4F" w:rsidP="00901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C5015D9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7762DE06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26EC953A" w14:textId="4DDEE922" w:rsidR="00901C4F" w:rsidRPr="00FC5BD8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Компаниянын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аталышы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248FC">
        <w:rPr>
          <w:rFonts w:ascii="Times New Roman" w:eastAsia="Times New Roman" w:hAnsi="Times New Roman" w:cs="Times New Roman"/>
          <w:sz w:val="24"/>
          <w:szCs w:val="24"/>
          <w:lang w:val="ru-RU"/>
        </w:rPr>
        <w:t>жетки</w:t>
      </w:r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рүүчү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D258E16" w14:textId="77777777" w:rsidR="00901C4F" w:rsidRPr="00FC5BD8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Кызмат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орду,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толук</w:t>
      </w:r>
      <w:proofErr w:type="spellEnd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аты</w:t>
      </w:r>
      <w:proofErr w:type="spellEnd"/>
    </w:p>
    <w:p w14:paraId="04C8CECB" w14:textId="54E8BBD9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0248FC">
        <w:rPr>
          <w:rFonts w:ascii="Times New Roman" w:eastAsia="Times New Roman" w:hAnsi="Times New Roman" w:cs="Times New Roman"/>
          <w:sz w:val="24"/>
          <w:szCs w:val="24"/>
          <w:lang w:val="ru-RU"/>
        </w:rPr>
        <w:t>колу</w:t>
      </w:r>
      <w:r w:rsidRPr="0007026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____________/</w:t>
      </w:r>
      <w:proofErr w:type="spellStart"/>
      <w:r w:rsidR="000248FC">
        <w:rPr>
          <w:rFonts w:ascii="Times New Roman" w:eastAsia="Times New Roman" w:hAnsi="Times New Roman" w:cs="Times New Roman"/>
          <w:sz w:val="24"/>
          <w:szCs w:val="24"/>
          <w:lang w:val="ru-RU"/>
        </w:rPr>
        <w:t>Мөөр</w:t>
      </w:r>
      <w:proofErr w:type="spellEnd"/>
    </w:p>
    <w:p w14:paraId="26B1EB55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9DEE74" w14:textId="77777777" w:rsidR="00901C4F" w:rsidRPr="009C5DA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3B361B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972083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8D78F1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6F2CB6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D94405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A2CE34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D28811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060917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F59307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E3BC7D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3CA670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8A20C9" w14:textId="77777777" w:rsidR="00044BF6" w:rsidRPr="0050368B" w:rsidRDefault="00044BF6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27E513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8BE8C3" w14:textId="14CA545F" w:rsidR="00044BF6" w:rsidRDefault="00044BF6" w:rsidP="00044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№</w:t>
      </w:r>
      <w:r w:rsidR="00765DC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 ПРИГЛАШЕНИЮ</w:t>
      </w:r>
    </w:p>
    <w:p w14:paraId="266D5908" w14:textId="77777777" w:rsidR="00044BF6" w:rsidRDefault="00044BF6" w:rsidP="00044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ЦЕНОВОЕ ПРЕДЛОЖЕНИЕ </w:t>
      </w:r>
    </w:p>
    <w:p w14:paraId="4BFD59BA" w14:textId="141F8FB5" w:rsidR="00044BF6" w:rsidRDefault="00044BF6" w:rsidP="00044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 ЛОТ</w:t>
      </w:r>
      <w:r w:rsidR="003E4B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6AAF026" w14:textId="4598ACA4" w:rsidR="00044BF6" w:rsidRDefault="00044BF6" w:rsidP="003E4B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C5DA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</w:p>
    <w:p w14:paraId="76CBBFD6" w14:textId="77777777" w:rsidR="00044BF6" w:rsidRDefault="00044BF6" w:rsidP="00044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18B7360" w14:textId="77777777" w:rsidR="00044BF6" w:rsidRDefault="00044BF6" w:rsidP="00044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5DD5DC73" w14:textId="77777777" w:rsidR="00044BF6" w:rsidRDefault="00044BF6" w:rsidP="00044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УСЛОВИЯ И СРОКИ ПОСТАВКИ</w:t>
      </w:r>
    </w:p>
    <w:p w14:paraId="707718EB" w14:textId="77777777" w:rsidR="00044BF6" w:rsidRDefault="00044BF6" w:rsidP="00044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403DF51" w14:textId="77777777" w:rsidR="00044BF6" w:rsidRDefault="00044BF6" w:rsidP="00044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990"/>
        <w:gridCol w:w="956"/>
        <w:gridCol w:w="1337"/>
        <w:gridCol w:w="1545"/>
        <w:gridCol w:w="1675"/>
      </w:tblGrid>
      <w:tr w:rsidR="00044BF6" w:rsidRPr="00765DC8" w14:paraId="2F911D9C" w14:textId="77777777" w:rsidTr="00044BF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AE84A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2BC3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Описание товаров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9942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Ед.изм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11C0C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 в сомах без учета налогов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AC22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 в сомах с учетом налогов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181E6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общая цена в сомах с учетом всех применимых налогов и доставкой до склада Покупателя</w:t>
            </w:r>
          </w:p>
        </w:tc>
      </w:tr>
      <w:tr w:rsidR="00044BF6" w14:paraId="49DFFF7D" w14:textId="77777777" w:rsidTr="00044BF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C754" w14:textId="77777777" w:rsidR="00044BF6" w:rsidRDefault="00044BF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E3AA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DE3A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3F73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D33A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379B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BF6" w14:paraId="6F31F898" w14:textId="77777777" w:rsidTr="00044BF6">
        <w:trPr>
          <w:trHeight w:val="22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93182" w14:textId="77777777" w:rsidR="00044BF6" w:rsidRDefault="00044BF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0C90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BCF6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229A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43BE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2AD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BF6" w14:paraId="4DA3AF6C" w14:textId="77777777" w:rsidTr="00044BF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BF93" w14:textId="77777777" w:rsidR="00044BF6" w:rsidRDefault="00044BF6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5B04" w14:textId="77777777" w:rsidR="00044BF6" w:rsidRDefault="0004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A8F4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8644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884B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5174" w14:textId="77777777" w:rsidR="00044BF6" w:rsidRDefault="0004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B8DABBC" w14:textId="77777777" w:rsidR="00044BF6" w:rsidRDefault="00044BF6" w:rsidP="00044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25021B8C" w14:textId="77777777" w:rsidR="00044BF6" w:rsidRDefault="00044BF6" w:rsidP="00044BF6">
      <w:pPr>
        <w:numPr>
          <w:ilvl w:val="0"/>
          <w:numId w:val="3"/>
        </w:numPr>
        <w:tabs>
          <w:tab w:val="num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Поставка товаров: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Поставщиком производится отдельными партиями по предварительной заявке Покупателя. Предварительная заявка предоставляется Поставщику не позднее 5 (пяти) календарного дня до даты предполагаемой поставки по электронной почте. </w:t>
      </w:r>
    </w:p>
    <w:p w14:paraId="5CE791F0" w14:textId="77777777" w:rsidR="00044BF6" w:rsidRDefault="00044BF6" w:rsidP="00044BF6">
      <w:pPr>
        <w:numPr>
          <w:ilvl w:val="0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Штрафные санкции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нарушения Поставщиком условий договора Покупатель вправе наложить штрафные санкции к Поставщику в размере 0,1% за каждый просроченный день от суммы поставки, но не более 10% от суммы договора. </w:t>
      </w:r>
    </w:p>
    <w:p w14:paraId="3AD69A5A" w14:textId="77777777" w:rsidR="00044BF6" w:rsidRDefault="00044BF6" w:rsidP="00044BF6">
      <w:pPr>
        <w:numPr>
          <w:ilvl w:val="0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Доставка и документы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55EC3354" w14:textId="77777777" w:rsidR="00044BF6" w:rsidRDefault="00044BF6" w:rsidP="00044BF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Доставка товаров осуществляется Поставщиком собственными силами и средствами на специально оборудованном для перевозки товаров подобного рода транспорте, с соблюдением санитарных норм, температурных режимов, путем их (передачи) на складе Покупателя по адресу: Кыргызская Республика,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г.Бишкек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Ибраимова,24</w:t>
      </w:r>
    </w:p>
    <w:p w14:paraId="617A060A" w14:textId="77777777" w:rsidR="00044BF6" w:rsidRDefault="00044BF6" w:rsidP="00044BF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Поставщик отправляет все документы Покупателю согласно требованиям в Техническом задании и условиям Договора:</w:t>
      </w:r>
    </w:p>
    <w:p w14:paraId="21469662" w14:textId="77777777" w:rsidR="00044BF6" w:rsidRDefault="00044BF6" w:rsidP="00044BF6">
      <w:pPr>
        <w:tabs>
          <w:tab w:val="num" w:pos="72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Оплата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Оплата производится в размере 100% от фактически поставленного объема, после подписания товарно-транспортной накладной, в течение 10 (десяти) банковских дней после выставления электронной счет фактуры (ЭСФ) на портале Государственной налоговой службы Кыргызской Республики.</w:t>
      </w:r>
    </w:p>
    <w:p w14:paraId="2C0404E5" w14:textId="77777777" w:rsidR="00044BF6" w:rsidRDefault="00044BF6" w:rsidP="00044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313C901F" w14:textId="77777777" w:rsidR="00044BF6" w:rsidRDefault="00044BF6" w:rsidP="00044BF6">
      <w:pPr>
        <w:numPr>
          <w:ilvl w:val="0"/>
          <w:numId w:val="3"/>
        </w:num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Приемка.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Датой поставки товаров считается дата приемки товаров на складе Покупателя Кыргызская Республика, г. Бишкек, ул. Ибраимова,24 в соответствии с товарно-транспортной накладной.</w:t>
      </w:r>
    </w:p>
    <w:p w14:paraId="7B71C150" w14:textId="77777777" w:rsidR="00044BF6" w:rsidRDefault="00044BF6" w:rsidP="00044B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561201E9" w14:textId="77777777" w:rsidR="00044BF6" w:rsidRDefault="00044BF6" w:rsidP="00044BF6">
      <w:pPr>
        <w:numPr>
          <w:ilvl w:val="0"/>
          <w:numId w:val="3"/>
        </w:num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lastRenderedPageBreak/>
        <w:t>Усушка/Утруска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Стороны договорились, что Поставщики весовой продукции предоставляют Покупателю скидку, в размере 1% (одного процента) с 1 (одного) кг веса на естественную убыль весового товара.</w:t>
      </w:r>
    </w:p>
    <w:p w14:paraId="0BE03E8F" w14:textId="77777777" w:rsidR="00044BF6" w:rsidRDefault="00044BF6" w:rsidP="00044BF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34CCB18B" w14:textId="77777777" w:rsidR="00044BF6" w:rsidRDefault="00044BF6" w:rsidP="00044BF6">
      <w:pPr>
        <w:numPr>
          <w:ilvl w:val="0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Дефекты.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Все дефекты должны быть устранены Поставщиком, без каких-либо расходов со стороны Покупателя в течение 3 дней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даты уведомления Покупателем. </w:t>
      </w:r>
    </w:p>
    <w:p w14:paraId="2BC3E0D0" w14:textId="77777777" w:rsidR="00044BF6" w:rsidRDefault="00044BF6" w:rsidP="00044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9451B3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190EF41B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6DB76C80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компании (поставщика)</w:t>
      </w:r>
    </w:p>
    <w:p w14:paraId="30CA4949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Должность, ФИО</w:t>
      </w:r>
    </w:p>
    <w:p w14:paraId="5B6A46D1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___подпись____________/МП</w:t>
      </w:r>
    </w:p>
    <w:p w14:paraId="172B9CD7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F2CA092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E18F147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ED34E4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12F1A9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CDAA47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0A1D05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07F746" w14:textId="77777777" w:rsidR="00044BF6" w:rsidRDefault="00044BF6" w:rsidP="00044BF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D1920F" w14:textId="77777777" w:rsidR="00901C4F" w:rsidRDefault="00901C4F" w:rsidP="00901C4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901C4F" w:rsidSect="009C5DAF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98BE" w14:textId="77777777" w:rsidR="00BE1A3A" w:rsidRDefault="00BE1A3A" w:rsidP="00044BF6">
      <w:pPr>
        <w:spacing w:after="0" w:line="240" w:lineRule="auto"/>
      </w:pPr>
      <w:r>
        <w:separator/>
      </w:r>
    </w:p>
  </w:endnote>
  <w:endnote w:type="continuationSeparator" w:id="0">
    <w:p w14:paraId="2BF428B8" w14:textId="77777777" w:rsidR="00BE1A3A" w:rsidRDefault="00BE1A3A" w:rsidP="0004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053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B89D2" w14:textId="6E2A4355" w:rsidR="00044BF6" w:rsidRDefault="00044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D4385" w14:textId="77777777" w:rsidR="00044BF6" w:rsidRDefault="00044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A892" w14:textId="77777777" w:rsidR="00BE1A3A" w:rsidRDefault="00BE1A3A" w:rsidP="00044BF6">
      <w:pPr>
        <w:spacing w:after="0" w:line="240" w:lineRule="auto"/>
      </w:pPr>
      <w:r>
        <w:separator/>
      </w:r>
    </w:p>
  </w:footnote>
  <w:footnote w:type="continuationSeparator" w:id="0">
    <w:p w14:paraId="6665A93A" w14:textId="77777777" w:rsidR="00BE1A3A" w:rsidRDefault="00BE1A3A" w:rsidP="0004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8906756">
    <w:abstractNumId w:val="0"/>
  </w:num>
  <w:num w:numId="2" w16cid:durableId="1981375254">
    <w:abstractNumId w:val="1"/>
  </w:num>
  <w:num w:numId="3" w16cid:durableId="997657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15BC"/>
    <w:rsid w:val="000035E1"/>
    <w:rsid w:val="00014184"/>
    <w:rsid w:val="000248FC"/>
    <w:rsid w:val="00044BF6"/>
    <w:rsid w:val="000469D4"/>
    <w:rsid w:val="00066218"/>
    <w:rsid w:val="00070269"/>
    <w:rsid w:val="00077044"/>
    <w:rsid w:val="00085768"/>
    <w:rsid w:val="00090221"/>
    <w:rsid w:val="000A3692"/>
    <w:rsid w:val="000C1540"/>
    <w:rsid w:val="00142F5A"/>
    <w:rsid w:val="00174D48"/>
    <w:rsid w:val="001A1BD3"/>
    <w:rsid w:val="001C6226"/>
    <w:rsid w:val="001D262F"/>
    <w:rsid w:val="00210EA4"/>
    <w:rsid w:val="00213FEA"/>
    <w:rsid w:val="00224D24"/>
    <w:rsid w:val="00233ADA"/>
    <w:rsid w:val="00260D3E"/>
    <w:rsid w:val="00263469"/>
    <w:rsid w:val="0029496C"/>
    <w:rsid w:val="0029596D"/>
    <w:rsid w:val="002E5D7E"/>
    <w:rsid w:val="0030246C"/>
    <w:rsid w:val="00304007"/>
    <w:rsid w:val="003044F2"/>
    <w:rsid w:val="00320CAB"/>
    <w:rsid w:val="003324C9"/>
    <w:rsid w:val="00355263"/>
    <w:rsid w:val="003629FE"/>
    <w:rsid w:val="00386E0B"/>
    <w:rsid w:val="00392BAC"/>
    <w:rsid w:val="003A0505"/>
    <w:rsid w:val="003C6F6A"/>
    <w:rsid w:val="003D6AFA"/>
    <w:rsid w:val="003D76BD"/>
    <w:rsid w:val="003E4042"/>
    <w:rsid w:val="003E4BE8"/>
    <w:rsid w:val="00400F1D"/>
    <w:rsid w:val="0040493F"/>
    <w:rsid w:val="00425C87"/>
    <w:rsid w:val="00430210"/>
    <w:rsid w:val="004327BF"/>
    <w:rsid w:val="00437655"/>
    <w:rsid w:val="0044482A"/>
    <w:rsid w:val="004468DE"/>
    <w:rsid w:val="0046113F"/>
    <w:rsid w:val="004619FC"/>
    <w:rsid w:val="004743FC"/>
    <w:rsid w:val="004A1AB1"/>
    <w:rsid w:val="004B714B"/>
    <w:rsid w:val="004E02A6"/>
    <w:rsid w:val="0050368B"/>
    <w:rsid w:val="00505896"/>
    <w:rsid w:val="00522D3B"/>
    <w:rsid w:val="0052539E"/>
    <w:rsid w:val="00525816"/>
    <w:rsid w:val="00551F29"/>
    <w:rsid w:val="00567556"/>
    <w:rsid w:val="00581A68"/>
    <w:rsid w:val="0058260A"/>
    <w:rsid w:val="005840B5"/>
    <w:rsid w:val="00591B50"/>
    <w:rsid w:val="005A2172"/>
    <w:rsid w:val="005A222C"/>
    <w:rsid w:val="005A47C4"/>
    <w:rsid w:val="005A4BD9"/>
    <w:rsid w:val="005A7111"/>
    <w:rsid w:val="005B3FE8"/>
    <w:rsid w:val="005B65CD"/>
    <w:rsid w:val="005F7797"/>
    <w:rsid w:val="00612EEF"/>
    <w:rsid w:val="006278F2"/>
    <w:rsid w:val="00641C6D"/>
    <w:rsid w:val="0065155B"/>
    <w:rsid w:val="0066326A"/>
    <w:rsid w:val="006835BF"/>
    <w:rsid w:val="00693E1C"/>
    <w:rsid w:val="006A4EB1"/>
    <w:rsid w:val="006B3FFA"/>
    <w:rsid w:val="006F5C5B"/>
    <w:rsid w:val="00746D26"/>
    <w:rsid w:val="0075276B"/>
    <w:rsid w:val="00765DC8"/>
    <w:rsid w:val="0078053B"/>
    <w:rsid w:val="00791BF4"/>
    <w:rsid w:val="007A30FF"/>
    <w:rsid w:val="007A4476"/>
    <w:rsid w:val="007A45D2"/>
    <w:rsid w:val="007C3BA3"/>
    <w:rsid w:val="007E5EF2"/>
    <w:rsid w:val="007E7128"/>
    <w:rsid w:val="007F2B5B"/>
    <w:rsid w:val="007F6ED0"/>
    <w:rsid w:val="00802370"/>
    <w:rsid w:val="008049DC"/>
    <w:rsid w:val="00807DE9"/>
    <w:rsid w:val="008109F5"/>
    <w:rsid w:val="008313C7"/>
    <w:rsid w:val="0087045F"/>
    <w:rsid w:val="00874A0D"/>
    <w:rsid w:val="00892352"/>
    <w:rsid w:val="008956F1"/>
    <w:rsid w:val="008957F8"/>
    <w:rsid w:val="008A07AD"/>
    <w:rsid w:val="008A3FAA"/>
    <w:rsid w:val="008D0877"/>
    <w:rsid w:val="008E7AB0"/>
    <w:rsid w:val="00901C4F"/>
    <w:rsid w:val="00906008"/>
    <w:rsid w:val="00942630"/>
    <w:rsid w:val="009545FF"/>
    <w:rsid w:val="009617E0"/>
    <w:rsid w:val="009A40B3"/>
    <w:rsid w:val="009C1B23"/>
    <w:rsid w:val="009C5DAF"/>
    <w:rsid w:val="009D7721"/>
    <w:rsid w:val="00A24B9A"/>
    <w:rsid w:val="00A322CC"/>
    <w:rsid w:val="00A43505"/>
    <w:rsid w:val="00A606EF"/>
    <w:rsid w:val="00A6183A"/>
    <w:rsid w:val="00A86B56"/>
    <w:rsid w:val="00AF02B7"/>
    <w:rsid w:val="00B21437"/>
    <w:rsid w:val="00B2286A"/>
    <w:rsid w:val="00B310CC"/>
    <w:rsid w:val="00B500A2"/>
    <w:rsid w:val="00B75B93"/>
    <w:rsid w:val="00B90D8D"/>
    <w:rsid w:val="00BA17B7"/>
    <w:rsid w:val="00BE1A3A"/>
    <w:rsid w:val="00BE3993"/>
    <w:rsid w:val="00BF6ABE"/>
    <w:rsid w:val="00C04963"/>
    <w:rsid w:val="00C54096"/>
    <w:rsid w:val="00C8254C"/>
    <w:rsid w:val="00CB39F2"/>
    <w:rsid w:val="00CB71A1"/>
    <w:rsid w:val="00CC0698"/>
    <w:rsid w:val="00CC6CE2"/>
    <w:rsid w:val="00D10C71"/>
    <w:rsid w:val="00D243EA"/>
    <w:rsid w:val="00D453B5"/>
    <w:rsid w:val="00D46255"/>
    <w:rsid w:val="00D670E3"/>
    <w:rsid w:val="00D73B0E"/>
    <w:rsid w:val="00D85A2D"/>
    <w:rsid w:val="00DB0F9B"/>
    <w:rsid w:val="00DD7E82"/>
    <w:rsid w:val="00DE3CF4"/>
    <w:rsid w:val="00E255EB"/>
    <w:rsid w:val="00E428A9"/>
    <w:rsid w:val="00E4724F"/>
    <w:rsid w:val="00E52883"/>
    <w:rsid w:val="00E6372E"/>
    <w:rsid w:val="00E87925"/>
    <w:rsid w:val="00EC6B52"/>
    <w:rsid w:val="00ED3FC8"/>
    <w:rsid w:val="00ED6E5F"/>
    <w:rsid w:val="00EE1ED6"/>
    <w:rsid w:val="00EF5439"/>
    <w:rsid w:val="00F13A0F"/>
    <w:rsid w:val="00F21FED"/>
    <w:rsid w:val="00F3340C"/>
    <w:rsid w:val="00F417F6"/>
    <w:rsid w:val="00F41C20"/>
    <w:rsid w:val="00F761BE"/>
    <w:rsid w:val="00F81AFF"/>
    <w:rsid w:val="00FA5AC6"/>
    <w:rsid w:val="00FA65AD"/>
    <w:rsid w:val="00FA704B"/>
    <w:rsid w:val="00FB26AD"/>
    <w:rsid w:val="00FC5BD8"/>
    <w:rsid w:val="00FC7774"/>
    <w:rsid w:val="00FE5503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DC"/>
    <w:pPr>
      <w:ind w:left="720"/>
      <w:contextualSpacing/>
    </w:pPr>
  </w:style>
  <w:style w:type="paragraph" w:styleId="Revision">
    <w:name w:val="Revision"/>
    <w:hidden/>
    <w:uiPriority w:val="99"/>
    <w:semiHidden/>
    <w:rsid w:val="003552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5D7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44BF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BF6"/>
  </w:style>
  <w:style w:type="paragraph" w:styleId="Footer">
    <w:name w:val="footer"/>
    <w:basedOn w:val="Normal"/>
    <w:link w:val="FooterChar"/>
    <w:uiPriority w:val="99"/>
    <w:unhideWhenUsed/>
    <w:rsid w:val="00044BF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D8C9-C305-4891-81DD-E0471CD0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Olga Turkovskaya</cp:lastModifiedBy>
  <cp:revision>37</cp:revision>
  <cp:lastPrinted>2025-03-18T03:08:00Z</cp:lastPrinted>
  <dcterms:created xsi:type="dcterms:W3CDTF">2025-03-12T03:23:00Z</dcterms:created>
  <dcterms:modified xsi:type="dcterms:W3CDTF">2025-11-05T10:13:00Z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