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5332" w14:textId="77777777" w:rsidR="00736A00" w:rsidRPr="007A3FBC" w:rsidRDefault="00736A00" w:rsidP="00736A00">
      <w:pPr>
        <w:spacing w:after="2" w:line="255" w:lineRule="auto"/>
        <w:ind w:left="20" w:right="1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6751D" w14:textId="458335EB" w:rsidR="00736A00" w:rsidRPr="00DC66A2" w:rsidRDefault="00736A00" w:rsidP="00736A00">
      <w:pPr>
        <w:spacing w:after="2" w:line="255" w:lineRule="auto"/>
        <w:ind w:left="20" w:right="17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ТЕХНИЧЕСКОЕ ЗАДАНИЕ</w:t>
      </w:r>
    </w:p>
    <w:p w14:paraId="1367AC1C" w14:textId="29931032" w:rsidR="00736A00" w:rsidRPr="00DC66A2" w:rsidRDefault="00736A00" w:rsidP="00736A00">
      <w:pPr>
        <w:spacing w:after="2" w:line="255" w:lineRule="auto"/>
        <w:ind w:left="20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на выполнение Комлекса работ (буровых и сопутствующих работ) на Кумторской концессионной площади в 202</w:t>
      </w:r>
      <w:r w:rsidR="005D60E7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году.</w:t>
      </w:r>
    </w:p>
    <w:p w14:paraId="0DA023DC" w14:textId="77777777" w:rsidR="00736A00" w:rsidRPr="00DC66A2" w:rsidRDefault="00736A00" w:rsidP="00736A00">
      <w:pPr>
        <w:spacing w:after="22"/>
        <w:ind w:left="5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8C58CE" w14:textId="77777777" w:rsidR="00736A00" w:rsidRPr="00DC66A2" w:rsidRDefault="00736A00" w:rsidP="00736A00">
      <w:pPr>
        <w:numPr>
          <w:ilvl w:val="0"/>
          <w:numId w:val="1"/>
        </w:numPr>
        <w:spacing w:after="42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spellEnd"/>
      <w:r w:rsidRPr="00DC6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proofErr w:type="spellEnd"/>
    </w:p>
    <w:p w14:paraId="4A37C548" w14:textId="77777777" w:rsidR="00736A00" w:rsidRPr="00DC66A2" w:rsidRDefault="00736A00" w:rsidP="00736A00">
      <w:pPr>
        <w:spacing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Заказчик - ЗАО "Кумтор Голд Компани" (КГК) </w:t>
      </w:r>
    </w:p>
    <w:p w14:paraId="58982AF4" w14:textId="77777777" w:rsidR="00736A00" w:rsidRPr="00DC66A2" w:rsidRDefault="00736A00" w:rsidP="00736A00">
      <w:pPr>
        <w:spacing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Участок работ – Кумторская концессионная площадь. </w:t>
      </w:r>
    </w:p>
    <w:p w14:paraId="60B4BDA3" w14:textId="77777777" w:rsidR="00736A00" w:rsidRPr="00DC66A2" w:rsidRDefault="00736A00" w:rsidP="00736A00">
      <w:pPr>
        <w:spacing w:after="41" w:line="2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Местоположение участка - Джеты-Огузский район Иссык-Кульской области. Северо-западный фланг (около 40%) концессионной площади приходится на Кумторскую межгорную впадину, которая заполнена грубообломочными четвертичными отложениями. Противоположный юго-восточный фланг территории простирается до высокогорной (до 5000 м. над уровнем моря) осевой части хребта Акшийрак.  Расстояние до ближайшей железнодорожной станции Балыкчи – 230 км, до города Бишкек – 410 км.</w:t>
      </w:r>
    </w:p>
    <w:p w14:paraId="10DBFEBE" w14:textId="77777777" w:rsidR="00736A00" w:rsidRPr="00DC66A2" w:rsidRDefault="00736A00" w:rsidP="00736A00">
      <w:p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Основание для проведения работ: Концессионный договор между Правительством Кыргызской Республики и ЗАО “Кумтор Голд Компани” от 6 июня 2009 года.</w:t>
      </w:r>
    </w:p>
    <w:p w14:paraId="62C88168" w14:textId="77777777" w:rsidR="00736A00" w:rsidRPr="00DC66A2" w:rsidRDefault="00736A00" w:rsidP="00736A00">
      <w:pPr>
        <w:spacing w:after="8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Состав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работ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:</w:t>
      </w:r>
    </w:p>
    <w:p w14:paraId="41197070" w14:textId="77777777" w:rsidR="00736A00" w:rsidRPr="00DC66A2" w:rsidRDefault="00736A00" w:rsidP="00736A0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Земельные работы по подготовка подъездных путей с целью обеспечения доступа к буровым площадкам и земельные работы по подготовке места для буровых площадок; </w:t>
      </w:r>
    </w:p>
    <w:p w14:paraId="07FB439F" w14:textId="77777777" w:rsidR="00736A00" w:rsidRPr="00DC66A2" w:rsidRDefault="00736A00" w:rsidP="00736A00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Бурение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sz w:val="24"/>
          <w:szCs w:val="24"/>
        </w:rPr>
        <w:t>скважин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колонковым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6A2">
        <w:rPr>
          <w:rFonts w:ascii="Times New Roman" w:hAnsi="Times New Roman" w:cs="Times New Roman"/>
          <w:sz w:val="24"/>
          <w:szCs w:val="24"/>
        </w:rPr>
        <w:t>методом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5DD073" w14:textId="77777777" w:rsidR="00736A00" w:rsidRPr="00DC66A2" w:rsidRDefault="00736A00" w:rsidP="00736A00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Оказание услуг водовозов и ассенизаторских машин для обепечения технической водой буровые установки Заказчика на почасовой основе.</w:t>
      </w:r>
    </w:p>
    <w:p w14:paraId="2312B3A1" w14:textId="091353D1" w:rsidR="00736A00" w:rsidRPr="00DC66A2" w:rsidRDefault="00736A00" w:rsidP="00736A00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выполнения </w:t>
      </w:r>
      <w:r w:rsidRPr="007A3FBC">
        <w:rPr>
          <w:rFonts w:ascii="Times New Roman" w:hAnsi="Times New Roman" w:cs="Times New Roman"/>
          <w:b/>
          <w:sz w:val="24"/>
          <w:szCs w:val="24"/>
          <w:lang w:val="ru-RU"/>
        </w:rPr>
        <w:t>работ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>: начало работ – январь 202</w:t>
      </w:r>
      <w:r w:rsidR="00191A92" w:rsidRPr="007A3FB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 г., окончание работ – декабрь 202</w:t>
      </w:r>
      <w:r w:rsidR="00191A92" w:rsidRPr="007A3FB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 г.,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или до завершения всего объема бурения, предусмотренного Техническим заданием.</w:t>
      </w:r>
    </w:p>
    <w:p w14:paraId="1F81F7E3" w14:textId="77777777" w:rsidR="00736A00" w:rsidRPr="00DC66A2" w:rsidRDefault="00736A00" w:rsidP="00736A00">
      <w:pPr>
        <w:numPr>
          <w:ilvl w:val="0"/>
          <w:numId w:val="1"/>
        </w:numPr>
        <w:spacing w:after="42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Основные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параметры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выполнения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работ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>:</w:t>
      </w:r>
    </w:p>
    <w:p w14:paraId="580F957B" w14:textId="77777777" w:rsidR="00736A00" w:rsidRPr="00DC66A2" w:rsidRDefault="00736A00" w:rsidP="00736A00">
      <w:pPr>
        <w:pStyle w:val="ListParagraph"/>
        <w:numPr>
          <w:ilvl w:val="1"/>
          <w:numId w:val="4"/>
        </w:numPr>
        <w:spacing w:after="42"/>
        <w:rPr>
          <w:rFonts w:ascii="Times New Roman" w:hAnsi="Times New Roman" w:cs="Times New Roman"/>
          <w:sz w:val="24"/>
          <w:szCs w:val="24"/>
        </w:rPr>
      </w:pPr>
      <w:bookmarkStart w:id="0" w:name="_Hlk182041211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Буровые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поверхности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68E67D9A" w14:textId="3E8461EC" w:rsidR="00736A00" w:rsidRPr="00DC66A2" w:rsidRDefault="00736A00" w:rsidP="00736A00">
      <w:p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Колонковое бурение скважин глубиной 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191A92" w:rsidRPr="007A3FBC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>0 метров. Углы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наклона бурения 0º-90º. Диаметр бурения (основной) – </w:t>
      </w:r>
      <w:r w:rsidRPr="00DC66A2">
        <w:rPr>
          <w:rFonts w:ascii="Times New Roman" w:hAnsi="Times New Roman" w:cs="Times New Roman"/>
          <w:sz w:val="24"/>
          <w:szCs w:val="24"/>
        </w:rPr>
        <w:t>HQ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. При бурении по отвалам, льдам, моренам и зонам разломов предусматривается забурка диаметром </w:t>
      </w:r>
      <w:r w:rsidRPr="00DC66A2">
        <w:rPr>
          <w:rFonts w:ascii="Times New Roman" w:hAnsi="Times New Roman" w:cs="Times New Roman"/>
          <w:sz w:val="24"/>
          <w:szCs w:val="24"/>
        </w:rPr>
        <w:t>PQ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до коренных пород (ориентировочной глубиной до 200 метров). В редких случаях возможен переход на бурение диаметром </w:t>
      </w:r>
      <w:r w:rsidRPr="00DC66A2">
        <w:rPr>
          <w:rFonts w:ascii="Times New Roman" w:hAnsi="Times New Roman" w:cs="Times New Roman"/>
          <w:sz w:val="24"/>
          <w:szCs w:val="24"/>
        </w:rPr>
        <w:t>NQ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Заказчиком.</w:t>
      </w:r>
    </w:p>
    <w:p w14:paraId="6D6D68B1" w14:textId="77777777" w:rsidR="00736A00" w:rsidRPr="00DC66A2" w:rsidRDefault="00736A00" w:rsidP="00736A00">
      <w:pPr>
        <w:pStyle w:val="ListParagraph"/>
        <w:numPr>
          <w:ilvl w:val="1"/>
          <w:numId w:val="4"/>
        </w:num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Буровые работы из подземных горных выработок:</w:t>
      </w:r>
    </w:p>
    <w:p w14:paraId="19562FC9" w14:textId="657CB33A" w:rsidR="00736A00" w:rsidRPr="00DC66A2" w:rsidRDefault="00736A00" w:rsidP="00736A00">
      <w:pPr>
        <w:pStyle w:val="ListParagraph"/>
        <w:numPr>
          <w:ilvl w:val="2"/>
          <w:numId w:val="4"/>
        </w:num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Бурение опережающих эксплуатационных разведочных скважин колонковым методом глубиной до </w:t>
      </w:r>
      <w:r w:rsidR="007A3FBC" w:rsidRPr="007A3FBC">
        <w:rPr>
          <w:rFonts w:ascii="Times New Roman" w:hAnsi="Times New Roman" w:cs="Times New Roman"/>
          <w:sz w:val="24"/>
          <w:szCs w:val="24"/>
          <w:lang w:val="ru-RU"/>
        </w:rPr>
        <w:t>300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метров. Углы наклона бурения 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от +25º до -90º. Диаметр бурения (основной) – </w:t>
      </w:r>
      <w:r w:rsidRPr="007A3FBC">
        <w:rPr>
          <w:rFonts w:ascii="Times New Roman" w:hAnsi="Times New Roman" w:cs="Times New Roman"/>
          <w:sz w:val="24"/>
          <w:szCs w:val="24"/>
        </w:rPr>
        <w:t>NQ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. По согласованию с Заказчиком допускается использование диаметра </w:t>
      </w:r>
      <w:r w:rsidRPr="007A3FBC">
        <w:rPr>
          <w:rFonts w:ascii="Times New Roman" w:hAnsi="Times New Roman" w:cs="Times New Roman"/>
          <w:sz w:val="24"/>
          <w:szCs w:val="24"/>
        </w:rPr>
        <w:t>HQ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 в начале скважины с последующим переходом на основной диаметр</w:t>
      </w:r>
      <w:r w:rsidR="00191A92" w:rsidRPr="007A3FBC">
        <w:rPr>
          <w:rFonts w:ascii="Times New Roman" w:hAnsi="Times New Roman" w:cs="Times New Roman"/>
          <w:sz w:val="24"/>
          <w:szCs w:val="24"/>
          <w:lang w:val="ru-RU"/>
        </w:rPr>
        <w:t xml:space="preserve"> бурения</w:t>
      </w:r>
      <w:r w:rsidRPr="007A3F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73F1A3" w14:textId="29393883" w:rsidR="00736A00" w:rsidRPr="00191A92" w:rsidRDefault="00736A00" w:rsidP="00736A00">
      <w:pPr>
        <w:pStyle w:val="ListParagraph"/>
        <w:numPr>
          <w:ilvl w:val="2"/>
          <w:numId w:val="4"/>
        </w:num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Геотехническое бурение скважин с извлечением ориентированного керна с применением прибора </w:t>
      </w:r>
      <w:r w:rsidRPr="00DC66A2">
        <w:rPr>
          <w:rFonts w:ascii="Times New Roman" w:hAnsi="Times New Roman" w:cs="Times New Roman"/>
          <w:sz w:val="24"/>
          <w:szCs w:val="24"/>
        </w:rPr>
        <w:t>REFLEX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6A2">
        <w:rPr>
          <w:rFonts w:ascii="Times New Roman" w:hAnsi="Times New Roman" w:cs="Times New Roman"/>
          <w:sz w:val="24"/>
          <w:szCs w:val="24"/>
        </w:rPr>
        <w:t>ACT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6A2">
        <w:rPr>
          <w:rFonts w:ascii="Times New Roman" w:hAnsi="Times New Roman" w:cs="Times New Roman"/>
          <w:sz w:val="24"/>
          <w:szCs w:val="24"/>
        </w:rPr>
        <w:t>III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™, глубиной до 300 метров. Углы наклона бурения от +5º до -90º. Диаметр бурения (основной) – </w:t>
      </w:r>
      <w:r w:rsidRPr="00DC66A2">
        <w:rPr>
          <w:rFonts w:ascii="Times New Roman" w:hAnsi="Times New Roman" w:cs="Times New Roman"/>
          <w:sz w:val="24"/>
          <w:szCs w:val="24"/>
        </w:rPr>
        <w:t>HQ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3E1083" w14:textId="77777777" w:rsidR="00191A92" w:rsidRPr="007A3FBC" w:rsidRDefault="00191A92" w:rsidP="00191A92">
      <w:pPr>
        <w:pStyle w:val="ListParagraph"/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213EDE" w14:textId="77777777" w:rsidR="00191A92" w:rsidRPr="00DC66A2" w:rsidRDefault="00191A92" w:rsidP="00191A92">
      <w:pPr>
        <w:pStyle w:val="ListParagraph"/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9282E1" w14:textId="77777777" w:rsidR="00736A00" w:rsidRPr="00DC66A2" w:rsidRDefault="00736A00" w:rsidP="00736A00">
      <w:pPr>
        <w:pStyle w:val="ListParagraph"/>
        <w:numPr>
          <w:ilvl w:val="0"/>
          <w:numId w:val="4"/>
        </w:numPr>
        <w:spacing w:after="31" w:line="27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Основные требования к бурению скважин:</w:t>
      </w:r>
    </w:p>
    <w:p w14:paraId="17B3B002" w14:textId="77777777" w:rsidR="00736A00" w:rsidRPr="00DC66A2" w:rsidRDefault="00736A00" w:rsidP="00736A00">
      <w:p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Выход керна не ниже 80% по вмещающим породам, не ниже 90% - по рудным зонам. Подрядчик обязуется укладывать керн в стандартные и соответствующие требованиям и диаметру керна керновые ящики. На ящике Подрядчик указывает номер скважины, номер ящика и стрелками показывает направление укладки керна. Подрядчик обязуется укладывать керн по рейсам, каждый рейс отделяется биркой с интервалом рейса и выходом керна. Подрядчик также обязуется очищать керн от бурового раствора и шлама (мыть).</w:t>
      </w:r>
    </w:p>
    <w:p w14:paraId="6373EE07" w14:textId="0E75A9A9" w:rsidR="00736A00" w:rsidRPr="007A3FBC" w:rsidRDefault="00736A00" w:rsidP="00736A00">
      <w:p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Потери керна по отвалам, моренам и льду не фиксируются и принимаются к оплате в полном объеме, за исключением аварийных скважин.</w:t>
      </w:r>
    </w:p>
    <w:p w14:paraId="717F704F" w14:textId="77777777" w:rsidR="00736A00" w:rsidRPr="00DC66A2" w:rsidRDefault="00736A00" w:rsidP="00736A00">
      <w:pPr>
        <w:pStyle w:val="ListParagraph"/>
        <w:spacing w:after="31" w:line="27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Аварийные скважины, а также скважины, не выполнившие геологическое задание перебуриваются подрядчиком за свой счет.</w:t>
      </w:r>
    </w:p>
    <w:p w14:paraId="41048ADF" w14:textId="3299F125" w:rsidR="00736A00" w:rsidRPr="00DC66A2" w:rsidRDefault="00736A00" w:rsidP="00736A00">
      <w:pPr>
        <w:pStyle w:val="ListParagraph"/>
        <w:spacing w:after="31" w:line="27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Заказчик по своему усмотрению в праве не включать не кондиционные интервалы скважин по выход</w:t>
      </w:r>
      <w:r w:rsidR="00191A9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керна в актируемые объемы.</w:t>
      </w:r>
    </w:p>
    <w:p w14:paraId="665076BC" w14:textId="77777777" w:rsidR="00736A00" w:rsidRPr="00DC66A2" w:rsidRDefault="00736A00" w:rsidP="00736A00">
      <w:pPr>
        <w:pStyle w:val="ListParagraph"/>
        <w:spacing w:line="27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Керн аварийной скважины предоставляется Заказчику в полном объеме вместе с ящиками на безвозмездной основе.</w:t>
      </w:r>
    </w:p>
    <w:p w14:paraId="37E7EF73" w14:textId="77777777" w:rsidR="00736A00" w:rsidRPr="00DC66A2" w:rsidRDefault="00736A00" w:rsidP="00736A00">
      <w:pPr>
        <w:pStyle w:val="ListParagraph"/>
        <w:spacing w:after="31" w:line="27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Обсадка скважины (диаметром </w:t>
      </w:r>
      <w:r w:rsidRPr="00DC66A2">
        <w:rPr>
          <w:rFonts w:ascii="Times New Roman" w:hAnsi="Times New Roman" w:cs="Times New Roman"/>
          <w:sz w:val="24"/>
          <w:szCs w:val="24"/>
        </w:rPr>
        <w:t>PW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DC66A2">
        <w:rPr>
          <w:rFonts w:ascii="Times New Roman" w:hAnsi="Times New Roman" w:cs="Times New Roman"/>
          <w:sz w:val="24"/>
          <w:szCs w:val="24"/>
        </w:rPr>
        <w:t>PQ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) по рыхлым отложениям (моренные, четвертичные и техногенные отвалы) должна производиться на полную мощность и погружаться в коренные породы.</w:t>
      </w:r>
    </w:p>
    <w:p w14:paraId="57D9F0DB" w14:textId="77777777" w:rsidR="00736A00" w:rsidRPr="00DC66A2" w:rsidRDefault="00736A00" w:rsidP="00736A00">
      <w:pPr>
        <w:pStyle w:val="ListParagraph"/>
        <w:spacing w:after="31" w:line="27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 случае аварии в процессе бурения, либо обрыва буровой колонны и прочих вынужденных остановках бурения (вызванных не по вине Заказчика), Подрядчику дается 3 (три) рабочих дня, на их устранение. По истечению этих дней Заказчик имеет право потребовать демонтаж недобуренной скважины и/или ее перебур, либо освобождение буровой площадки. При этом недобуренная скважина признается аварийной.</w:t>
      </w:r>
    </w:p>
    <w:p w14:paraId="5EF9F8D8" w14:textId="326CF30E" w:rsidR="00736A00" w:rsidRPr="00DC66A2" w:rsidRDefault="00736A00" w:rsidP="00736A00">
      <w:pPr>
        <w:pStyle w:val="ListParagraph"/>
        <w:spacing w:after="42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 завершении буровых работ, устье скважин, также буровая площадка подлеж</w:t>
      </w:r>
      <w:r w:rsidR="00191A92"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обязательной ликвидации (приводится в первоначальное состояние), все отходы от производства 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>должны выв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озиться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и утилизировать</w:t>
      </w:r>
      <w:r w:rsidR="00191A92" w:rsidRPr="000A1F1F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процедурам Заказчика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сда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ваться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Заказчику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составлением 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>акт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ликвидации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буровой площадки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CC56E7" w14:textId="77777777" w:rsidR="00736A00" w:rsidRPr="00DC66A2" w:rsidRDefault="00736A00" w:rsidP="00736A00">
      <w:pPr>
        <w:spacing w:after="42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2EACFD" w14:textId="77777777" w:rsidR="00736A00" w:rsidRPr="00DC66A2" w:rsidRDefault="00736A00" w:rsidP="00736A00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Предварительные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объемы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буровых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работ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>:</w:t>
      </w:r>
    </w:p>
    <w:p w14:paraId="11AF5448" w14:textId="54C5B8C8" w:rsidR="00736A00" w:rsidRPr="000A1F1F" w:rsidRDefault="00736A00" w:rsidP="00736A0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F1F">
        <w:rPr>
          <w:rFonts w:ascii="Times New Roman" w:hAnsi="Times New Roman" w:cs="Times New Roman"/>
          <w:sz w:val="24"/>
          <w:szCs w:val="24"/>
          <w:lang w:val="ru-RU"/>
        </w:rPr>
        <w:t>Общий объем бурения составляет 1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пог. метров, из которых: с поверхности —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7 060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пог. метров со средней глубиной скважин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450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метров; из подземных выработок —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8 200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пог. метр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со средней глубиной скважин 1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0 метров; бурение геотехнических скважин из подземных выработок —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800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пог. метров со средней глубиной скважин 150 метров.</w:t>
      </w:r>
    </w:p>
    <w:p w14:paraId="0E4116FD" w14:textId="5DA8A6DC" w:rsidR="00736A00" w:rsidRPr="000A1F1F" w:rsidRDefault="00736A00" w:rsidP="00736A0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Объем бурения нефиксированный и может быть изменен в зависимости от полученного результата. </w:t>
      </w:r>
      <w:r w:rsidR="00C22C6C" w:rsidRPr="000A1F1F">
        <w:rPr>
          <w:rFonts w:ascii="Times New Roman" w:hAnsi="Times New Roman" w:cs="Times New Roman"/>
          <w:sz w:val="24"/>
          <w:szCs w:val="24"/>
          <w:lang w:val="ru-RU"/>
        </w:rPr>
        <w:t>При этом</w:t>
      </w:r>
      <w:r w:rsidRPr="000A1F1F">
        <w:rPr>
          <w:rFonts w:ascii="Times New Roman" w:hAnsi="Times New Roman" w:cs="Times New Roman"/>
          <w:sz w:val="24"/>
          <w:szCs w:val="24"/>
          <w:lang w:val="ru-RU"/>
        </w:rPr>
        <w:t xml:space="preserve"> допустимое превышение указанного объема бурения не может составлять более 10% к общему объему бурения и допускается по усмотрению Заказчика.</w:t>
      </w:r>
    </w:p>
    <w:p w14:paraId="721BB0AA" w14:textId="77777777" w:rsidR="00736A00" w:rsidRPr="000A1F1F" w:rsidRDefault="00736A00" w:rsidP="00736A0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F1F">
        <w:rPr>
          <w:rFonts w:ascii="Times New Roman" w:hAnsi="Times New Roman" w:cs="Times New Roman"/>
          <w:sz w:val="24"/>
          <w:szCs w:val="24"/>
          <w:lang w:val="ru-RU"/>
        </w:rPr>
        <w:t>В таблице приведен график проведения буровых работ, распределенный по месяцам:</w:t>
      </w:r>
    </w:p>
    <w:tbl>
      <w:tblPr>
        <w:tblW w:w="90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26"/>
        <w:gridCol w:w="708"/>
        <w:gridCol w:w="692"/>
        <w:gridCol w:w="540"/>
        <w:gridCol w:w="540"/>
        <w:gridCol w:w="630"/>
        <w:gridCol w:w="630"/>
        <w:gridCol w:w="540"/>
        <w:gridCol w:w="720"/>
        <w:gridCol w:w="540"/>
        <w:gridCol w:w="630"/>
        <w:gridCol w:w="540"/>
        <w:gridCol w:w="720"/>
      </w:tblGrid>
      <w:tr w:rsidR="00736A00" w:rsidRPr="000A1F1F" w14:paraId="217E49B7" w14:textId="77777777" w:rsidTr="00130EE7">
        <w:trPr>
          <w:trHeight w:val="621"/>
          <w:jc w:val="center"/>
        </w:trPr>
        <w:tc>
          <w:tcPr>
            <w:tcW w:w="1031" w:type="dxa"/>
            <w:vAlign w:val="center"/>
          </w:tcPr>
          <w:p w14:paraId="2B5551E9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6" w:type="dxa"/>
            <w:vAlign w:val="center"/>
          </w:tcPr>
          <w:p w14:paraId="03341DB5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Янв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6455DD" w14:textId="4BB496D3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08" w:type="dxa"/>
            <w:vAlign w:val="center"/>
          </w:tcPr>
          <w:p w14:paraId="013EC01B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Февр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5C747D" w14:textId="43961AD0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92" w:type="dxa"/>
            <w:vAlign w:val="center"/>
          </w:tcPr>
          <w:p w14:paraId="78EDBE53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Март.</w:t>
            </w:r>
          </w:p>
          <w:p w14:paraId="53AB5D2E" w14:textId="4BFB4F8B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14:paraId="70227E42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528DEE" w14:textId="1C154C27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14:paraId="581BC94A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14:paraId="3D05F007" w14:textId="2EEAE47E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  <w:vAlign w:val="center"/>
          </w:tcPr>
          <w:p w14:paraId="27D615B6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proofErr w:type="spellEnd"/>
          </w:p>
          <w:p w14:paraId="5B0BA070" w14:textId="05D8669C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  <w:vAlign w:val="center"/>
          </w:tcPr>
          <w:p w14:paraId="6816C0CD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proofErr w:type="spellEnd"/>
          </w:p>
          <w:p w14:paraId="4BEF69B0" w14:textId="4844877E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  <w:vAlign w:val="center"/>
          </w:tcPr>
          <w:p w14:paraId="3AB67063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024B94" w14:textId="3853D8D0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14:paraId="671A166C" w14:textId="77777777" w:rsidR="00736A00" w:rsidRPr="000A1F1F" w:rsidRDefault="00736A00" w:rsidP="0042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EDB2D22" w14:textId="4B4CE847" w:rsidR="00736A00" w:rsidRPr="00C4183F" w:rsidRDefault="00736A00" w:rsidP="00422E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  <w:hideMark/>
          </w:tcPr>
          <w:p w14:paraId="3914FF23" w14:textId="77777777" w:rsidR="000A1F1F" w:rsidRPr="000A1F1F" w:rsidRDefault="00736A00" w:rsidP="00130EE7">
            <w:pPr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95F73E0" w14:textId="70AE8973" w:rsidR="00736A00" w:rsidRPr="00C4183F" w:rsidRDefault="00736A00" w:rsidP="00130EE7">
            <w:pPr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  <w:vAlign w:val="center"/>
            <w:hideMark/>
          </w:tcPr>
          <w:p w14:paraId="0DED4267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2191DB7" w14:textId="795E5A1F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14:paraId="7895ED70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AC2DA79" w14:textId="28D6FE9E" w:rsidR="00736A00" w:rsidRPr="00C4183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18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14:paraId="1044264E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proofErr w:type="spellEnd"/>
          </w:p>
        </w:tc>
      </w:tr>
      <w:tr w:rsidR="00736A00" w:rsidRPr="00DC66A2" w14:paraId="7F69D1FA" w14:textId="77777777" w:rsidTr="00422E4E">
        <w:trPr>
          <w:trHeight w:val="286"/>
          <w:jc w:val="center"/>
        </w:trPr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04DEC0FC" w14:textId="77777777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709E2C4E" w14:textId="3A3661DF" w:rsidR="00736A00" w:rsidRPr="000A1F1F" w:rsidRDefault="00C22C6C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16A557" w14:textId="1CFFA51C" w:rsidR="00736A00" w:rsidRPr="000A1F1F" w:rsidRDefault="00C22C6C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1232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22D2084C" w14:textId="229B57B4" w:rsidR="00736A00" w:rsidRPr="000A1F1F" w:rsidRDefault="00C22C6C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E9511AA" w14:textId="77609F6F" w:rsidR="00736A00" w:rsidRPr="000A1F1F" w:rsidRDefault="00C22C6C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7D3A097" w14:textId="53402AEA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CC4A82F" w14:textId="49BBB97B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F74D90E" w14:textId="54997607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0B7E0F4" w14:textId="6A8E38D7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93DB593" w14:textId="26DDCBEF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F6BA670" w14:textId="1D802729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FDCEEF4" w14:textId="62935F2C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9C7DF6F" w14:textId="3CFAF912" w:rsidR="00736A00" w:rsidRPr="000A1F1F" w:rsidRDefault="00736A00" w:rsidP="00422E4E">
            <w:pPr>
              <w:ind w:left="-9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0EE7"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3D3622B" w14:textId="40590A7E" w:rsidR="00736A00" w:rsidRPr="000A1F1F" w:rsidRDefault="00130EE7" w:rsidP="00422E4E">
            <w:pPr>
              <w:ind w:lef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16060</w:t>
            </w:r>
          </w:p>
        </w:tc>
      </w:tr>
    </w:tbl>
    <w:p w14:paraId="19A9532B" w14:textId="77777777" w:rsidR="00736A00" w:rsidRPr="00DC66A2" w:rsidRDefault="00736A00" w:rsidP="00736A00">
      <w:pPr>
        <w:spacing w:after="22"/>
        <w:ind w:left="180"/>
        <w:rPr>
          <w:rFonts w:ascii="Times New Roman" w:hAnsi="Times New Roman" w:cs="Times New Roman"/>
          <w:bCs/>
          <w:sz w:val="24"/>
          <w:szCs w:val="24"/>
        </w:rPr>
      </w:pPr>
    </w:p>
    <w:p w14:paraId="0FE8491A" w14:textId="77777777" w:rsidR="00736A00" w:rsidRPr="00DC66A2" w:rsidRDefault="00736A00" w:rsidP="00736A00">
      <w:pPr>
        <w:spacing w:after="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Подготовка буровых площадок</w:t>
      </w:r>
      <w:r w:rsidRPr="00DC66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ориентировочно 30 площадок.</w:t>
      </w:r>
    </w:p>
    <w:p w14:paraId="5D4931ED" w14:textId="0B69CA38" w:rsidR="00736A00" w:rsidRPr="00DC66A2" w:rsidRDefault="00736A00" w:rsidP="00736A00">
      <w:pPr>
        <w:spacing w:after="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Ориентировочный объем земельных работ при </w:t>
      </w:r>
      <w:r w:rsidRPr="00DC6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подготовке подъездных путей с целью обеспечения доступа к буровым площадкам и земельные работы по подготовке места для буровых площадок</w:t>
      </w:r>
      <w:r w:rsidRPr="00DC66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0A1F1F" w:rsidRPr="00596B21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596B21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596B21">
        <w:rPr>
          <w:rFonts w:ascii="Times New Roman" w:hAnsi="Times New Roman" w:cs="Times New Roman"/>
          <w:bCs/>
          <w:sz w:val="24"/>
          <w:szCs w:val="24"/>
        </w:rPr>
        <w:t> </w:t>
      </w:r>
      <w:r w:rsidRPr="00596B21">
        <w:rPr>
          <w:rFonts w:ascii="Times New Roman" w:hAnsi="Times New Roman" w:cs="Times New Roman"/>
          <w:bCs/>
          <w:sz w:val="24"/>
          <w:szCs w:val="24"/>
          <w:lang w:val="ru-RU"/>
        </w:rPr>
        <w:t>000</w:t>
      </w:r>
      <w:r w:rsidRPr="00596B21">
        <w:rPr>
          <w:rFonts w:ascii="Times New Roman" w:hAnsi="Times New Roman" w:cs="Times New Roman"/>
          <w:bCs/>
          <w:sz w:val="24"/>
          <w:szCs w:val="24"/>
        </w:rPr>
        <w:t> </w:t>
      </w:r>
      <w:r w:rsidRPr="00596B21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Pr="00596B21">
        <w:rPr>
          <w:rFonts w:ascii="Times New Roman" w:hAnsi="Times New Roman" w:cs="Times New Roman"/>
          <w:bCs/>
          <w:sz w:val="24"/>
          <w:szCs w:val="24"/>
          <w:vertAlign w:val="superscript"/>
          <w:lang w:val="ru-RU"/>
        </w:rPr>
        <w:t>3</w:t>
      </w:r>
      <w:r w:rsidRPr="00596B2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C0D35E0" w14:textId="30F14B01" w:rsidR="00736A00" w:rsidRPr="00DC66A2" w:rsidRDefault="001F1828" w:rsidP="00736A0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Для выполнения работ</w:t>
      </w:r>
      <w:r w:rsidR="00736A00"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Подрядчик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 организовать работы двумя буровыми станками, одна с поверхности и вторая из подземных выработок.</w:t>
      </w:r>
      <w:r w:rsidR="00736A00"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36A00" w:rsidRPr="00DC66A2">
        <w:rPr>
          <w:rFonts w:ascii="Times New Roman" w:hAnsi="Times New Roman" w:cs="Times New Roman"/>
          <w:sz w:val="24"/>
          <w:szCs w:val="24"/>
          <w:lang w:val="ru-RU"/>
        </w:rPr>
        <w:t>о согласованию с Заказчиком для выполнения календарного плана работ могут привлекаться дополнительные станки.</w:t>
      </w:r>
    </w:p>
    <w:p w14:paraId="01D8B7FB" w14:textId="344E3636" w:rsidR="00736A00" w:rsidRDefault="00736A00" w:rsidP="00736A00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Систематическое невыполнение месячного графика работ более чем на 20% в течение двух и более месяцев может послужить основанием для разрыва договора в одностороннем порядке.</w:t>
      </w:r>
    </w:p>
    <w:p w14:paraId="3F7DF88D" w14:textId="77777777" w:rsidR="00130EE7" w:rsidRPr="00130EE7" w:rsidRDefault="00130EE7" w:rsidP="0013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504FE4" w14:textId="17F6B9CB" w:rsidR="00736A00" w:rsidRPr="00DC66A2" w:rsidRDefault="00736A00" w:rsidP="00736A00">
      <w:pPr>
        <w:numPr>
          <w:ilvl w:val="0"/>
          <w:numId w:val="4"/>
        </w:numPr>
        <w:spacing w:after="31" w:line="27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Земельные работы при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подготовке подъездных путей с целью обеспечения доступа к буровым площадкам и земельные работы по подготовке буровых площадок</w:t>
      </w: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115D796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Разрушенные участки существующей дороги восстановить для проезда бурового оборудования, грузового и легкового транспорта;</w:t>
      </w:r>
    </w:p>
    <w:p w14:paraId="2DFC75C7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Ширина полотна временной дороги по грунтам – не менее 3,5 метров по целику, по льду – 6 м. Максимальный продольный уклон дорог 7º (12,3%).</w:t>
      </w:r>
    </w:p>
    <w:p w14:paraId="493F166E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Параметры буровой площадки должны обеспечивать требования техники безопасности ведения буровых работ и приближаться к нормативным 20х20 метров.</w:t>
      </w:r>
    </w:p>
    <w:p w14:paraId="144C4A36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Поддержание в течение периода проведения буровых работ в рабочем и безопасном состоянии подъездные дороги к действующим буровым площадкам, в том числе и расчистку от снега.</w:t>
      </w:r>
    </w:p>
    <w:p w14:paraId="4DC7C1B3" w14:textId="61D91B85" w:rsidR="00736A00" w:rsidRPr="00DC66A2" w:rsidRDefault="00736A00" w:rsidP="00736A00">
      <w:pPr>
        <w:numPr>
          <w:ilvl w:val="1"/>
          <w:numId w:val="4"/>
        </w:numPr>
        <w:spacing w:after="24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Общий предварительный объем земельных работ нефиксированный и может быть изменен в зависимости от полученного результата, но не </w:t>
      </w:r>
      <w:r w:rsidR="00130EE7" w:rsidRPr="006D2E47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чем на </w:t>
      </w:r>
      <w:r w:rsidR="006D2E47" w:rsidRPr="006D2E4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0% к ориентировочному объему земельных работ.</w:t>
      </w:r>
    </w:p>
    <w:p w14:paraId="035EBFD4" w14:textId="77777777" w:rsidR="00736A00" w:rsidRPr="00DC66A2" w:rsidRDefault="00736A00" w:rsidP="00736A00">
      <w:pPr>
        <w:numPr>
          <w:ilvl w:val="0"/>
          <w:numId w:val="4"/>
        </w:numPr>
        <w:spacing w:after="32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Основные требования при выполнении работ:</w:t>
      </w:r>
    </w:p>
    <w:p w14:paraId="64F1ECA6" w14:textId="15368FF2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1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Работы должны проводиться с соблюдением «Правил безопасности при проведении геологоразведочных работ» от 16 мая.2000 года МЧС и ГО КР», «Правил безопасности производственных процессов добычи полезных ископаемых открытым способом» от 24 апреля 2018 года №01–7/203, ГКПЭиН КР» также всех действующих инструкций и процедур по охране труда и техники безопасности КГК.</w:t>
      </w:r>
    </w:p>
    <w:p w14:paraId="301084D5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Представители Заказчика производят инспекции по соблюдению безопасных условий ведения буровых работ;</w:t>
      </w:r>
    </w:p>
    <w:p w14:paraId="04C4A1C5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соглашается выполнять все внутренние политики и производственные инструкции по охране окружающей среды, охране труда, технике безопасности, политики по найму персонала и информационной безопасности;</w:t>
      </w:r>
    </w:p>
    <w:p w14:paraId="067EB380" w14:textId="58D49CAF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Все работы, включая работы с 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привлечением </w:t>
      </w:r>
      <w:r w:rsidR="00D84EEA"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техники на 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>почасовой оплат</w:t>
      </w:r>
      <w:r w:rsidR="00D84EEA" w:rsidRPr="006D2E4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 должны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контролироваться сменными мастерами Подрядчика.</w:t>
      </w:r>
    </w:p>
    <w:p w14:paraId="45B8DA11" w14:textId="77777777" w:rsidR="00736A00" w:rsidRPr="00D84EEA" w:rsidRDefault="00736A00" w:rsidP="00736A00">
      <w:pPr>
        <w:numPr>
          <w:ilvl w:val="1"/>
          <w:numId w:val="4"/>
        </w:numPr>
        <w:spacing w:after="24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Договор может предусматривать дополнительные обязанности Подрядчика.</w:t>
      </w:r>
    </w:p>
    <w:p w14:paraId="383F51B9" w14:textId="77777777" w:rsidR="00D84EEA" w:rsidRPr="007A3FBC" w:rsidRDefault="00D84EEA" w:rsidP="00D84EEA">
      <w:pPr>
        <w:spacing w:after="240" w:line="240" w:lineRule="auto"/>
        <w:ind w:lef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3BFF65" w14:textId="77777777" w:rsidR="00D84EEA" w:rsidRPr="00DC66A2" w:rsidRDefault="00D84EEA" w:rsidP="00D84EEA">
      <w:pPr>
        <w:spacing w:after="240" w:line="240" w:lineRule="auto"/>
        <w:ind w:left="48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928A3A" w14:textId="77777777" w:rsidR="00736A00" w:rsidRPr="00DC66A2" w:rsidRDefault="00736A00" w:rsidP="00736A0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Требования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качеству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работ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CDBAED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гарантировать наличие всех необходимых разрешений, предусмотренных законодательством Кыргызской Республики на виды деятельности, связанные с выполнением работ.</w:t>
      </w:r>
    </w:p>
    <w:p w14:paraId="5688C022" w14:textId="5F429B90" w:rsidR="00736A00" w:rsidRPr="00DC66A2" w:rsidRDefault="00736A00" w:rsidP="00736A00">
      <w:pPr>
        <w:numPr>
          <w:ilvl w:val="1"/>
          <w:numId w:val="4"/>
        </w:numPr>
        <w:spacing w:after="24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Подрядчик должен гарантировать соответствие качества выполненных работ требованиям КГК, изложенным в Техническом задании и 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оговоре.</w:t>
      </w:r>
    </w:p>
    <w:p w14:paraId="573FAE5E" w14:textId="1956D2F5" w:rsidR="00736A00" w:rsidRPr="00DC66A2" w:rsidRDefault="00736A00" w:rsidP="00736A0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Технологии бурения и технические возможности:</w:t>
      </w:r>
    </w:p>
    <w:p w14:paraId="41113A12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предоставить подробное описание технологии бурения, которое он планирует использовать на руднике «Кумтор»;</w:t>
      </w:r>
    </w:p>
    <w:p w14:paraId="4CED89EC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Зачистка и подготовка площадок под бурение выполняются силами Подрядчика;</w:t>
      </w:r>
    </w:p>
    <w:p w14:paraId="4FD10437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самостоятельно и за свой счет обеспечить все необходимое оборудование, включая буровые станки, вспомогательное оборудование, запчасти, буровые штанги/трубы и буровой инструмент, реагенты, инструменты, расходные материалы и любое другое оборудование и расходные материалы необходимые для выполнения условий контракта в установленном порядке;</w:t>
      </w:r>
    </w:p>
    <w:p w14:paraId="209B97E3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Производительность используемого оборудования должна обеспечивать выполнение планируемого объема работ в требуемые сроки;</w:t>
      </w:r>
    </w:p>
    <w:p w14:paraId="0C1E9425" w14:textId="1389905F" w:rsidR="00736A00" w:rsidRPr="006D2E47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Подрядчик должен постоянно иметь в наличии на участке работ буровые штанги </w:t>
      </w:r>
      <w:r w:rsidRPr="00DC66A2">
        <w:rPr>
          <w:rFonts w:ascii="Times New Roman" w:hAnsi="Times New Roman" w:cs="Times New Roman"/>
          <w:sz w:val="24"/>
          <w:szCs w:val="24"/>
        </w:rPr>
        <w:t>HQ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и инструмент, необходимый для колонкового бурения скважин на глубину 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D84EEA" w:rsidRPr="006D2E47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0 метров на каждом буровом станке, включая трубы </w:t>
      </w:r>
      <w:r w:rsidRPr="006D2E47">
        <w:rPr>
          <w:rFonts w:ascii="Times New Roman" w:hAnsi="Times New Roman" w:cs="Times New Roman"/>
          <w:sz w:val="24"/>
          <w:szCs w:val="24"/>
        </w:rPr>
        <w:t>NQ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 и обсадные трубы диаметра </w:t>
      </w:r>
      <w:r w:rsidRPr="006D2E47">
        <w:rPr>
          <w:rFonts w:ascii="Times New Roman" w:hAnsi="Times New Roman" w:cs="Times New Roman"/>
          <w:sz w:val="24"/>
          <w:szCs w:val="24"/>
        </w:rPr>
        <w:t>PQ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D2E47">
        <w:rPr>
          <w:rFonts w:ascii="Times New Roman" w:hAnsi="Times New Roman" w:cs="Times New Roman"/>
          <w:sz w:val="24"/>
          <w:szCs w:val="24"/>
        </w:rPr>
        <w:t>PW</w:t>
      </w:r>
      <w:r w:rsidRPr="006D2E4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25F728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Всё оборудование должно быть заводского изготовления, не допускается применение самодельных аналогов оборудования и инструментов;</w:t>
      </w:r>
    </w:p>
    <w:p w14:paraId="27877759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 процессе эксплуатации оборудование не должно подвергаться модификации или упрощению заводских параметров сборки. Техническое обслуживание и использование оборудования должно выполняться в соответствии с рекомендациями производителя;</w:t>
      </w:r>
    </w:p>
    <w:p w14:paraId="12FA658E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Оборудование должно быть постоянно пригодным к эксплуатации и поддерживаться в технически исправном состоянии;</w:t>
      </w:r>
    </w:p>
    <w:p w14:paraId="2B16B25B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 обеспечивает доставку воды для бурения, из водозаборов, указанных Заказчиком;</w:t>
      </w:r>
    </w:p>
    <w:p w14:paraId="20C528A0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 обеспечивает вывоз и слив использованного бурового раствора в места, указанные Заказчиком;</w:t>
      </w:r>
    </w:p>
    <w:p w14:paraId="46B43440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несет ответственность за своевременную и безопасную транспортировку ящиков с керном до участка обработки керна Заказчика;</w:t>
      </w:r>
    </w:p>
    <w:p w14:paraId="0A4568F3" w14:textId="69D291C4" w:rsidR="00736A00" w:rsidRPr="00DC66A2" w:rsidRDefault="00736A00" w:rsidP="00736A00">
      <w:pPr>
        <w:numPr>
          <w:ilvl w:val="1"/>
          <w:numId w:val="4"/>
        </w:numPr>
        <w:spacing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обеспечивает свои буровые установки средствами видеозаписи, обеспечивает бесперебойную ее работу, предоставляет запись по требованию Заказчика, видеоматериал предназначен только для внутреннего пользования без права распространения согласно Политик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Заказчика. Также, Подрядчик назначает 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приказом ответственного за обеспечение бесперебойной работы видеокамер. Требования к качеству записи минимально 720</w:t>
      </w:r>
      <w:r w:rsidRPr="00DC66A2">
        <w:rPr>
          <w:rFonts w:ascii="Times New Roman" w:hAnsi="Times New Roman" w:cs="Times New Roman"/>
          <w:sz w:val="24"/>
          <w:szCs w:val="24"/>
        </w:rPr>
        <w:t>p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C66A2">
        <w:rPr>
          <w:rFonts w:ascii="Times New Roman" w:hAnsi="Times New Roman" w:cs="Times New Roman"/>
          <w:sz w:val="24"/>
          <w:szCs w:val="24"/>
        </w:rPr>
        <w:t>HD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): 1280 </w:t>
      </w:r>
      <w:r w:rsidRPr="00DC66A2">
        <w:rPr>
          <w:rFonts w:ascii="Times New Roman" w:hAnsi="Times New Roman" w:cs="Times New Roman"/>
          <w:sz w:val="24"/>
          <w:szCs w:val="24"/>
        </w:rPr>
        <w:t>x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720, формат </w:t>
      </w:r>
      <w:r w:rsidRPr="00DC66A2">
        <w:rPr>
          <w:rFonts w:ascii="Times New Roman" w:hAnsi="Times New Roman" w:cs="Times New Roman"/>
          <w:sz w:val="24"/>
          <w:szCs w:val="24"/>
        </w:rPr>
        <w:t>MPEG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-4, продолжительность записи 36-48 часов. Не выполнение данных требований может быть основанием для остановки работ.</w:t>
      </w:r>
    </w:p>
    <w:p w14:paraId="23D7E2C2" w14:textId="706835EB" w:rsidR="00736A00" w:rsidRPr="00DC66A2" w:rsidRDefault="00736A00" w:rsidP="00736A00">
      <w:pPr>
        <w:numPr>
          <w:ilvl w:val="1"/>
          <w:numId w:val="4"/>
        </w:numPr>
        <w:spacing w:after="24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Договор может предусматривать иные требования к Подрядчику (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согласовани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C22F3F6" w14:textId="77777777" w:rsidR="00736A00" w:rsidRPr="00DC66A2" w:rsidRDefault="00736A00" w:rsidP="00736A00">
      <w:pPr>
        <w:numPr>
          <w:ilvl w:val="0"/>
          <w:numId w:val="4"/>
        </w:numPr>
        <w:spacing w:after="42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Ежедневный отчет о ходе буровых работ:</w:t>
      </w:r>
    </w:p>
    <w:p w14:paraId="53F5E2C8" w14:textId="68E96C6F" w:rsidR="00736A00" w:rsidRPr="00DC66A2" w:rsidRDefault="00736A00" w:rsidP="00736A00">
      <w:pPr>
        <w:ind w:left="4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ежесуточно представляет по форме, определяемой Заказчиком, оперативный отчет о результатах выполнения буровых работ по каждой буровой скважине на основании бурового журнала. Оперативный отчет должен содержать следующую информацию (объем предоставляемой информации может быть скорректирован по согласованию с Заказчиком):</w:t>
      </w:r>
    </w:p>
    <w:p w14:paraId="1B09F843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Ф.И.О членов буровой бригады;</w:t>
      </w:r>
    </w:p>
    <w:p w14:paraId="6885E181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6A2">
        <w:rPr>
          <w:rFonts w:ascii="Times New Roman" w:hAnsi="Times New Roman" w:cs="Times New Roman"/>
          <w:sz w:val="24"/>
          <w:szCs w:val="24"/>
        </w:rPr>
        <w:t>скважины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328F06C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Диаметр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6A2">
        <w:rPr>
          <w:rFonts w:ascii="Times New Roman" w:hAnsi="Times New Roman" w:cs="Times New Roman"/>
          <w:sz w:val="24"/>
          <w:szCs w:val="24"/>
        </w:rPr>
        <w:t>скважины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49C41EB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sz w:val="24"/>
          <w:szCs w:val="24"/>
        </w:rPr>
        <w:t>Глубина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66A2">
        <w:rPr>
          <w:rFonts w:ascii="Times New Roman" w:hAnsi="Times New Roman" w:cs="Times New Roman"/>
          <w:sz w:val="24"/>
          <w:szCs w:val="24"/>
        </w:rPr>
        <w:t>обсадки</w:t>
      </w:r>
      <w:proofErr w:type="spellEnd"/>
      <w:r w:rsidRPr="00DC66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9999063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Ход буровых работ (проходка в метрах за смену);</w:t>
      </w:r>
    </w:p>
    <w:p w14:paraId="134512C4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Подробная информация по буровому оборудованию, включая потери штанг/инструментов;</w:t>
      </w:r>
    </w:p>
    <w:p w14:paraId="5BED92C9" w14:textId="1F499CE1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Время простоев с подробным описанием видов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причин;</w:t>
      </w:r>
    </w:p>
    <w:p w14:paraId="442521F4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Инциденты, внештатные ситуации и другие проблемы по ТБ;</w:t>
      </w:r>
    </w:p>
    <w:p w14:paraId="5F946DEC" w14:textId="468BFD3C" w:rsidR="00736A00" w:rsidRPr="00DC66A2" w:rsidRDefault="00736A00" w:rsidP="00736A00">
      <w:pPr>
        <w:numPr>
          <w:ilvl w:val="1"/>
          <w:numId w:val="4"/>
        </w:numPr>
        <w:spacing w:after="7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Прочие проблемы каса</w:t>
      </w:r>
      <w:r w:rsidR="00D84EEA">
        <w:rPr>
          <w:rFonts w:ascii="Times New Roman" w:hAnsi="Times New Roman" w:cs="Times New Roman"/>
          <w:sz w:val="24"/>
          <w:szCs w:val="24"/>
          <w:lang w:val="ru-RU"/>
        </w:rPr>
        <w:t>ющиеся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бурения скважин и работ с отклонением от нормального режима.</w:t>
      </w:r>
    </w:p>
    <w:p w14:paraId="5C49E03B" w14:textId="77777777" w:rsidR="00736A00" w:rsidRPr="00DC66A2" w:rsidRDefault="00736A00" w:rsidP="00736A00">
      <w:pPr>
        <w:numPr>
          <w:ilvl w:val="1"/>
          <w:numId w:val="4"/>
        </w:numPr>
        <w:spacing w:after="7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Все ежедневные отчеты по буровым работам за смену и за сутки должны предоставляться Заказчику ежедневно до 07:20 утра.</w:t>
      </w:r>
    </w:p>
    <w:p w14:paraId="192C2E0C" w14:textId="77777777" w:rsidR="00736A00" w:rsidRPr="00DC66A2" w:rsidRDefault="00736A00" w:rsidP="00736A00">
      <w:pPr>
        <w:numPr>
          <w:ilvl w:val="1"/>
          <w:numId w:val="4"/>
        </w:numPr>
        <w:spacing w:after="36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Представитель Заказчика проверяет отчеты за смену на достоверность, а также выделяет спорные моменты, которые нужно откорректировать в целях полноты данных отчета.</w:t>
      </w:r>
    </w:p>
    <w:p w14:paraId="4EEF4A71" w14:textId="77777777" w:rsidR="00736A00" w:rsidRPr="00DC66A2" w:rsidRDefault="00736A00" w:rsidP="00736A00">
      <w:pPr>
        <w:numPr>
          <w:ilvl w:val="0"/>
          <w:numId w:val="4"/>
        </w:numPr>
        <w:spacing w:after="42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Схема бурения и замеры глубин скважин:</w:t>
      </w:r>
    </w:p>
    <w:p w14:paraId="4D07A0D9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Проектное положение скважины (разметка устья скважин и геодезическое местоположение) определяются геологической или маркшейдерской службой Заказчика;</w:t>
      </w:r>
    </w:p>
    <w:p w14:paraId="38B28FD5" w14:textId="5A868021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устанавливает буровой агрегат в присутствии представителей Заказчика по заданным азимутальному и зенитному углам бурения в соответствии с ГТН, все расчеты по запасу отклонения должны согласовываться с Заказчиком, но ключевое решение принимает мастер Подрядчика, в последствии риски по отклонени</w:t>
      </w:r>
      <w:r w:rsidR="00AD20B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возлагаются на Подрядчика. После установки бурового агрегата Стороны подписывают «Акт о заложении буровой скважины», составляемый Заказчиком;</w:t>
      </w:r>
    </w:p>
    <w:p w14:paraId="3544A08B" w14:textId="0D8570A4" w:rsidR="00736A00" w:rsidRPr="00AD20BB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устья скважины должно выполняться </w:t>
      </w:r>
      <w:r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D20BB" w:rsidRPr="005E1B25">
        <w:rPr>
          <w:rFonts w:ascii="Times New Roman" w:hAnsi="Times New Roman" w:cs="Times New Roman"/>
          <w:sz w:val="24"/>
          <w:szCs w:val="24"/>
          <w:lang w:val="ru-RU"/>
        </w:rPr>
        <w:t>радиусе</w:t>
      </w:r>
      <w:r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20BB" w:rsidRPr="005E1B2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03673B" w:rsidRPr="005E1B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20BB" w:rsidRPr="005E1B2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 метра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от указанной точки бурения. </w:t>
      </w:r>
      <w:r w:rsidRPr="00AD20BB">
        <w:rPr>
          <w:rFonts w:ascii="Times New Roman" w:hAnsi="Times New Roman" w:cs="Times New Roman"/>
          <w:sz w:val="24"/>
          <w:szCs w:val="24"/>
          <w:lang w:val="ru-RU"/>
        </w:rPr>
        <w:t>Любое смещение устья скважины согласовывается с Заказчиком.</w:t>
      </w:r>
    </w:p>
    <w:p w14:paraId="24CFB6E2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Представитель Заказчика контролирует местоположение всех скважин, представитель Подрядчика на площадке несет ответственность за соответствие фактического местоположения буровых точек с запроектированными;</w:t>
      </w:r>
    </w:p>
    <w:p w14:paraId="4FA7D364" w14:textId="4367A9F4" w:rsidR="00736A00" w:rsidRPr="005E1B25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Контрольные замеры глубины скважин (в ходе бурения и по завершению скважин) будут проводиться по усмотрению Заказчика и результаты замеров будут заноситься в «Акт о закрытии </w:t>
      </w:r>
      <w:r w:rsidR="0003673B"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и приемки буровой </w:t>
      </w:r>
      <w:r w:rsidRPr="005E1B25">
        <w:rPr>
          <w:rFonts w:ascii="Times New Roman" w:hAnsi="Times New Roman" w:cs="Times New Roman"/>
          <w:sz w:val="24"/>
          <w:szCs w:val="24"/>
          <w:lang w:val="ru-RU"/>
        </w:rPr>
        <w:t>скважины»;</w:t>
      </w:r>
    </w:p>
    <w:p w14:paraId="7465949E" w14:textId="7AEFC669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 случаях обнаружения ошибок по учету интервалов в буровом журнале представитель Заказчика в праве потребовать контрольный замер глубины скважины с подъёмом колонны, вне зависимости от глубины и других осложняющих условий.</w:t>
      </w:r>
    </w:p>
    <w:p w14:paraId="780363D0" w14:textId="5B9BA301" w:rsidR="00736A00" w:rsidRPr="00DC66A2" w:rsidRDefault="00736A00" w:rsidP="00736A00">
      <w:pPr>
        <w:spacing w:after="21"/>
        <w:ind w:left="864"/>
        <w:rPr>
          <w:rFonts w:ascii="Times New Roman" w:hAnsi="Times New Roman" w:cs="Times New Roman"/>
          <w:sz w:val="24"/>
          <w:szCs w:val="24"/>
          <w:lang w:val="ru-RU"/>
        </w:rPr>
      </w:pPr>
    </w:p>
    <w:p w14:paraId="35190A7D" w14:textId="77777777" w:rsidR="00736A00" w:rsidRPr="00DC66A2" w:rsidRDefault="00736A00" w:rsidP="00736A00">
      <w:pPr>
        <w:numPr>
          <w:ilvl w:val="0"/>
          <w:numId w:val="4"/>
        </w:numPr>
        <w:spacing w:after="42"/>
        <w:rPr>
          <w:rFonts w:ascii="Times New Roman" w:hAnsi="Times New Roman" w:cs="Times New Roman"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Инклинометрия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>:</w:t>
      </w:r>
    </w:p>
    <w:p w14:paraId="1CB434DB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обязуется выполнять инклинометрию во всех скважинах.</w:t>
      </w:r>
    </w:p>
    <w:p w14:paraId="485C680F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Замеры искривления наклонных скважин проводятся с шагом каждые 12 м. - до глубины 100 м. и каждые 25 м. - ниже глубины 100 м.</w:t>
      </w:r>
    </w:p>
    <w:p w14:paraId="1C10F1A0" w14:textId="77777777" w:rsidR="00736A00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Замеры искривления вертикальных скважин (90°) проводятся с шагом каждые 25 м. - до глубины 100 м. и каждые 40 м. - ниже глубины 100 м.</w:t>
      </w:r>
    </w:p>
    <w:p w14:paraId="4E465856" w14:textId="49E073D5" w:rsidR="0003673B" w:rsidRPr="007A3FBC" w:rsidRDefault="0003673B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FBC">
        <w:rPr>
          <w:rFonts w:ascii="Times New Roman" w:hAnsi="Times New Roman" w:cs="Times New Roman"/>
          <w:sz w:val="24"/>
          <w:szCs w:val="24"/>
          <w:lang w:val="ru-RU"/>
        </w:rPr>
        <w:t>Каждый третий замер искривления скважины должен в обязательном порядке сопровождаться контрольным замером с внесением записи в буровой журнал;</w:t>
      </w:r>
    </w:p>
    <w:p w14:paraId="5112495C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 случае, если скважина бурится по разрезу со сложными геологическими условиями, где имеет место прихват бурового снаряда, Подрядчик, по согласованию с Заказчиком может увеличить шаг инклинометрии, с условием что при завершении бурения проведет инклинометрию на пропущенных интервалах.</w:t>
      </w:r>
    </w:p>
    <w:p w14:paraId="45953E24" w14:textId="20E20AB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Результаты измерений инклинометрии заносятся в ежедневные буровые отчеты,</w:t>
      </w:r>
      <w:r w:rsidR="005E1B25">
        <w:rPr>
          <w:rFonts w:ascii="Times New Roman" w:hAnsi="Times New Roman" w:cs="Times New Roman"/>
          <w:sz w:val="24"/>
          <w:szCs w:val="24"/>
          <w:lang w:val="ru-RU"/>
        </w:rPr>
        <w:t xml:space="preserve"> в буровой журнал,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а также при закрытии скважины включаются в «Акт о закрытии и приемки скважины» в установленной Заказчиком форме.</w:t>
      </w:r>
    </w:p>
    <w:p w14:paraId="097DBE41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Подрядчик обязуется при проведении замеров использовать инклинометр, имеющий действующий сертификат (свидетельство) о калибровке, к использованию рекомендуются инклинометры марки </w:t>
      </w:r>
      <w:r w:rsidRPr="00DC66A2">
        <w:rPr>
          <w:rFonts w:ascii="Times New Roman" w:hAnsi="Times New Roman" w:cs="Times New Roman"/>
          <w:sz w:val="24"/>
          <w:szCs w:val="24"/>
        </w:rPr>
        <w:t>Reflex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F8688E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обязан не менее 1 раза в три месяца [раз в год (в зависимости от модели период письменно согласуется с Заказчиком)] проводить поверку инклинометра и предоставлять Заказчику акт или копию акта поверки, заверенную надлежащим образом.</w:t>
      </w:r>
    </w:p>
    <w:p w14:paraId="4FCFD81E" w14:textId="77777777" w:rsidR="00736A00" w:rsidRPr="00DC66A2" w:rsidRDefault="00736A00" w:rsidP="00736A00">
      <w:pPr>
        <w:numPr>
          <w:ilvl w:val="1"/>
          <w:numId w:val="4"/>
        </w:numPr>
        <w:spacing w:after="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При необходимости Заказчик и Подрядчик проводят контрольные замеры инклинометрии с использованием оборудования Заказчика в скважинах, выполняемых Подрядчиком. Ответственность за исправность и сохранность данного оборудования возлагается на Подрядчика.</w:t>
      </w:r>
    </w:p>
    <w:p w14:paraId="73A2CA24" w14:textId="77777777" w:rsidR="00736A00" w:rsidRPr="00DC66A2" w:rsidRDefault="00736A00" w:rsidP="00736A00">
      <w:pPr>
        <w:numPr>
          <w:ilvl w:val="1"/>
          <w:numId w:val="4"/>
        </w:numPr>
        <w:spacing w:after="24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Стоимость работ по инклинометрии входит в стоимость буровых работ.</w:t>
      </w:r>
    </w:p>
    <w:p w14:paraId="4731BFB6" w14:textId="77777777" w:rsidR="00736A00" w:rsidRPr="00DC66A2" w:rsidRDefault="00736A00" w:rsidP="00736A00">
      <w:pPr>
        <w:numPr>
          <w:ilvl w:val="0"/>
          <w:numId w:val="4"/>
        </w:numPr>
        <w:spacing w:after="42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Качество буровых работ по отклонениям:</w:t>
      </w:r>
    </w:p>
    <w:p w14:paraId="5A94940A" w14:textId="77777777" w:rsidR="00736A00" w:rsidRPr="00DC66A2" w:rsidRDefault="00736A00" w:rsidP="00736A00">
      <w:pPr>
        <w:spacing w:after="9"/>
        <w:ind w:left="4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При осуществлении буровых работ допускаются следующие предельные отклонения параметров пространственного положения скважин:</w:t>
      </w:r>
    </w:p>
    <w:p w14:paraId="11002531" w14:textId="0EB907DB" w:rsidR="00736A00" w:rsidRPr="00DC66A2" w:rsidRDefault="00736A00" w:rsidP="00736A00">
      <w:pPr>
        <w:numPr>
          <w:ilvl w:val="1"/>
          <w:numId w:val="2"/>
        </w:numPr>
        <w:spacing w:after="31" w:line="270" w:lineRule="auto"/>
        <w:ind w:right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1B25">
        <w:rPr>
          <w:rFonts w:ascii="Times New Roman" w:hAnsi="Times New Roman" w:cs="Times New Roman"/>
          <w:sz w:val="24"/>
          <w:szCs w:val="24"/>
          <w:lang w:val="ru-RU"/>
        </w:rPr>
        <w:t>местоположение устья скважины ±</w:t>
      </w:r>
      <w:r w:rsidR="0003673B" w:rsidRPr="005E1B25">
        <w:rPr>
          <w:rFonts w:ascii="Times New Roman" w:hAnsi="Times New Roman" w:cs="Times New Roman"/>
          <w:sz w:val="24"/>
          <w:szCs w:val="24"/>
          <w:lang w:val="ru-RU"/>
        </w:rPr>
        <w:t>0.5</w:t>
      </w:r>
      <w:r w:rsidRPr="005E1B25">
        <w:rPr>
          <w:rFonts w:ascii="Times New Roman" w:hAnsi="Times New Roman" w:cs="Times New Roman"/>
          <w:sz w:val="24"/>
          <w:szCs w:val="24"/>
          <w:lang w:val="ru-RU"/>
        </w:rPr>
        <w:t xml:space="preserve"> м относительно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маркшейдерской вешки;</w:t>
      </w:r>
    </w:p>
    <w:p w14:paraId="4D9F8F4F" w14:textId="54D00985" w:rsidR="00736A00" w:rsidRPr="00DC66A2" w:rsidRDefault="00736A00" w:rsidP="00736A00">
      <w:pPr>
        <w:numPr>
          <w:ilvl w:val="1"/>
          <w:numId w:val="2"/>
        </w:numPr>
        <w:spacing w:after="7" w:line="270" w:lineRule="auto"/>
        <w:ind w:right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для скважин: по азимуту: – не более ± 2° на каждые 100 метров глубины; - по углу заложения - не более ± 2° на каждые 100 метров глубины. </w:t>
      </w:r>
    </w:p>
    <w:p w14:paraId="7D49A09D" w14:textId="77777777" w:rsidR="00736A00" w:rsidRPr="00DC66A2" w:rsidRDefault="00736A00" w:rsidP="00736A00">
      <w:pPr>
        <w:spacing w:after="7"/>
        <w:ind w:left="489" w:right="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 случае отклонения скважин от указанных параметров Заказчик принимает решение о продолжении или остановке скважины. В случае остановки по указанным причинам скважина может быть признана не выполнившей геологическое задание и будет считаться аварийной.</w:t>
      </w:r>
    </w:p>
    <w:p w14:paraId="0CA39BDA" w14:textId="77777777" w:rsidR="00736A00" w:rsidRPr="00DC66A2" w:rsidRDefault="00736A00" w:rsidP="00736A00">
      <w:pPr>
        <w:numPr>
          <w:ilvl w:val="0"/>
          <w:numId w:val="4"/>
        </w:numPr>
        <w:spacing w:before="240" w:after="4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Требования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охране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окружающей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66A2">
        <w:rPr>
          <w:rFonts w:ascii="Times New Roman" w:hAnsi="Times New Roman" w:cs="Times New Roman"/>
          <w:b/>
          <w:sz w:val="24"/>
          <w:szCs w:val="24"/>
        </w:rPr>
        <w:t>среды</w:t>
      </w:r>
      <w:proofErr w:type="spellEnd"/>
      <w:r w:rsidRPr="00DC66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9EB490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проводить проверки на соответствие и соглашаться следовать политике Заказчика, принятой для всех производственных процессов на участке работ;</w:t>
      </w:r>
    </w:p>
    <w:p w14:paraId="1281E543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выстилать дно зумпфов плотной непроницаемой пленкой во избежание просачивания бурового раствора в грунт;</w:t>
      </w:r>
    </w:p>
    <w:p w14:paraId="1C44F304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 завершению работ по скважине зумпф должен быть очищен от шлама, пленка убрана со дна зумпфа и зумпф должен быть закопан;</w:t>
      </w:r>
    </w:p>
    <w:p w14:paraId="1C2B925C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Буровые работы должны проводиться с надлежащей ответственностью в целях защиты окружающей среды в той части, в которой это относится к разливам топлива и бурового раствора;</w:t>
      </w:r>
    </w:p>
    <w:p w14:paraId="4E9A85D9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несет ответственность за все разливы. Все серьезные происшествия по разливам должны сообщаться представителю Заказчика и должны бать удалены с последующей утилизацией на полигоне опасных отходов Заказчика;</w:t>
      </w:r>
    </w:p>
    <w:p w14:paraId="190DB90A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Запрещается промывать емкости или прополаскивать контейнеры на незащищенном грунте, а также мыть автотранспорт и оборудование в водоемах вокруг площадки;</w:t>
      </w:r>
    </w:p>
    <w:p w14:paraId="3E807AFE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Запрещается утилизировать любые отходы на площадке, утилизация отходов производится согласно политикам Заказчика;</w:t>
      </w:r>
    </w:p>
    <w:p w14:paraId="61FB2B40" w14:textId="77777777" w:rsidR="00736A00" w:rsidRPr="00DC66A2" w:rsidRDefault="00736A00" w:rsidP="00736A00">
      <w:pPr>
        <w:numPr>
          <w:ilvl w:val="1"/>
          <w:numId w:val="4"/>
        </w:numPr>
        <w:spacing w:after="240" w:line="240" w:lineRule="auto"/>
        <w:ind w:left="8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 завершении буровых работ на каждой скважине Подрядчиком производятся ликвидационные работы устья скважины и промплощадки буровых работ, с оформлением акта ликвидации.</w:t>
      </w:r>
    </w:p>
    <w:p w14:paraId="7BB7334D" w14:textId="77777777" w:rsidR="00736A00" w:rsidRPr="00DC66A2" w:rsidRDefault="00736A00" w:rsidP="00736A00">
      <w:pPr>
        <w:spacing w:after="14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Сопровождение геологоразведочных работ: </w:t>
      </w:r>
    </w:p>
    <w:p w14:paraId="3E38173F" w14:textId="77777777" w:rsidR="00736A00" w:rsidRPr="00DC66A2" w:rsidRDefault="00736A00" w:rsidP="00736A00">
      <w:pPr>
        <w:spacing w:after="42"/>
        <w:ind w:left="105" w:firstLine="3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Cs/>
          <w:sz w:val="24"/>
          <w:szCs w:val="24"/>
          <w:lang w:val="ru-RU"/>
        </w:rPr>
        <w:t>При проведении буровых работ Подрядчик обеспечивает следующие мероприятия:</w:t>
      </w:r>
    </w:p>
    <w:p w14:paraId="08E0928C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выполняет мобилизацию/демобилизацию своего оборудования к месту работ;</w:t>
      </w:r>
    </w:p>
    <w:p w14:paraId="2A62C35A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обеспечивает проживание персонала в месте выполнения работ;</w:t>
      </w:r>
    </w:p>
    <w:p w14:paraId="29ED19E8" w14:textId="77777777" w:rsidR="00736A00" w:rsidRPr="00DC66A2" w:rsidRDefault="00736A00" w:rsidP="00736A00">
      <w:pPr>
        <w:numPr>
          <w:ilvl w:val="1"/>
          <w:numId w:val="4"/>
        </w:numPr>
        <w:spacing w:after="0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обеспечивает питание персонала;</w:t>
      </w:r>
    </w:p>
    <w:p w14:paraId="08079454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обеспечивает наличие банно-прачечного комплекса для персонала Подрядчика;</w:t>
      </w:r>
    </w:p>
    <w:p w14:paraId="25D21317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обеспечивает собственными транспортными и другим техническими средствами;</w:t>
      </w:r>
    </w:p>
    <w:p w14:paraId="07331228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Подрядчик самостоятельно обеспечивает себя водоснабжением: закачку и доставку технической воды на участок проведения работ, а также питьевой воды в базовый лагерь; </w:t>
      </w:r>
    </w:p>
    <w:p w14:paraId="4D4C2FDE" w14:textId="2128F2CC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Подрядчик самостоятельно осуществляет перевозку своего персонала, доставку ГСМ </w:t>
      </w:r>
      <w:r w:rsidRPr="00DC66A2">
        <w:rPr>
          <w:rFonts w:ascii="Times New Roman" w:hAnsi="Times New Roman" w:cs="Times New Roman"/>
          <w:sz w:val="24"/>
          <w:szCs w:val="24"/>
        </w:rPr>
        <w:t>c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АЗС </w:t>
      </w:r>
      <w:r w:rsidR="00E174C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>удника «Кумтор» до места проведения работ, ТМЦ и расходных материалов для буровой техники, а также доставку упакованного и промаркированного керна к месту документирования керна;</w:t>
      </w:r>
    </w:p>
    <w:p w14:paraId="7ED53F58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самостоятельно обеспечивает содержание, техническое обслуживание и все виды ремонтов привлекаемой Подрядчиком техники, оборудования, обеспечение необходимых запасных частей для выполнения работ;</w:t>
      </w:r>
    </w:p>
    <w:p w14:paraId="55EC2228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обеспечивает транспортировку персонала Подрядчика до участка работ и обратно в период мобилизации, пересмены или демобилизации;</w:t>
      </w:r>
    </w:p>
    <w:p w14:paraId="5EE736DD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Порядок и условия обеспечения топливом определяются контрактом.</w:t>
      </w:r>
    </w:p>
    <w:p w14:paraId="6730B06C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06359980"/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обеспечивает свой персонал необходимыми средствами радиосвязи в соответствии с политиками и требованиями техники безопасности Заказчика.</w:t>
      </w:r>
    </w:p>
    <w:p w14:paraId="51ED0DE7" w14:textId="77777777" w:rsidR="00736A00" w:rsidRPr="00DC66A2" w:rsidRDefault="00736A00" w:rsidP="00736A00">
      <w:pPr>
        <w:spacing w:after="31" w:line="270" w:lineRule="auto"/>
        <w:ind w:left="84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14:paraId="0E3B3BA0" w14:textId="77777777" w:rsidR="00736A00" w:rsidRPr="00DC66A2" w:rsidRDefault="00736A00" w:rsidP="00736A00">
      <w:pPr>
        <w:numPr>
          <w:ilvl w:val="0"/>
          <w:numId w:val="4"/>
        </w:numPr>
        <w:spacing w:after="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Дополнительные услуги водовоза и ассенизаторской машины на почасовой основе.</w:t>
      </w:r>
    </w:p>
    <w:p w14:paraId="116B2166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При необходимости Заказчик может привлекать для выполнения буровых работ следующую технику, имеющуюся у Подрядчика, для обеспечения технической водой и вывоза обратного раствора:</w:t>
      </w:r>
    </w:p>
    <w:p w14:paraId="55ED0957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ассенизаторская машина с цистерной не менее 10м</w:t>
      </w:r>
      <w:r w:rsidRPr="00DC66A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- 1 ед;</w:t>
      </w:r>
    </w:p>
    <w:p w14:paraId="018C2CCB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водовоз с цистерной не менее 10м</w:t>
      </w:r>
      <w:r w:rsidRPr="00DC66A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DC66A2">
        <w:rPr>
          <w:rFonts w:ascii="Times New Roman" w:hAnsi="Times New Roman" w:cs="Times New Roman"/>
          <w:sz w:val="24"/>
          <w:szCs w:val="24"/>
          <w:lang w:val="ru-RU"/>
        </w:rPr>
        <w:t xml:space="preserve"> - 1 ед;</w:t>
      </w:r>
    </w:p>
    <w:p w14:paraId="799F2795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Подрядчик должен иметь в резерве на участке вышеуказанную технику в количестве, в случае поломок основных машин;</w:t>
      </w:r>
    </w:p>
    <w:p w14:paraId="69BE760A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Оплата данных услуг производится на основе подписания ежедневных табелей учета фактически отработанных часов. Табель по каждой привлеченной единице техники подписывается мастером Подрядчика у представителя Заказчика;</w:t>
      </w:r>
    </w:p>
    <w:p w14:paraId="4AC34D33" w14:textId="77777777" w:rsidR="00736A00" w:rsidRPr="00DC66A2" w:rsidRDefault="00736A00" w:rsidP="00736A00">
      <w:pPr>
        <w:numPr>
          <w:ilvl w:val="1"/>
          <w:numId w:val="4"/>
        </w:numPr>
        <w:spacing w:after="31" w:line="27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6A2">
        <w:rPr>
          <w:rFonts w:ascii="Times New Roman" w:hAnsi="Times New Roman" w:cs="Times New Roman"/>
          <w:sz w:val="24"/>
          <w:szCs w:val="24"/>
          <w:lang w:val="ru-RU"/>
        </w:rPr>
        <w:t>При выполнении работ на почасовой основе все расходы, связанные с их выполнением (топливо, запасные части и пр.), обеспечивает Подрядчик.</w:t>
      </w:r>
    </w:p>
    <w:p w14:paraId="41758920" w14:textId="77777777" w:rsidR="00736A00" w:rsidRDefault="00736A00" w:rsidP="00736A0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68EAFD" w14:textId="77777777" w:rsidR="005B2306" w:rsidRDefault="005B2306" w:rsidP="00736A0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E174C9" w14:paraId="4DE1C98F" w14:textId="77777777" w:rsidTr="00E174C9">
        <w:tc>
          <w:tcPr>
            <w:tcW w:w="4839" w:type="dxa"/>
          </w:tcPr>
          <w:p w14:paraId="775CA363" w14:textId="497086F0" w:rsidR="00E174C9" w:rsidRPr="00E174C9" w:rsidRDefault="00E174C9" w:rsidP="00736A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17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4840" w:type="dxa"/>
          </w:tcPr>
          <w:p w14:paraId="37F50586" w14:textId="368E9344" w:rsidR="00E174C9" w:rsidRPr="00E174C9" w:rsidRDefault="00E174C9" w:rsidP="00E174C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17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Подрядчик</w:t>
            </w:r>
          </w:p>
        </w:tc>
      </w:tr>
      <w:tr w:rsidR="00E174C9" w14:paraId="09C6DC5F" w14:textId="77777777" w:rsidTr="00E174C9">
        <w:tc>
          <w:tcPr>
            <w:tcW w:w="4839" w:type="dxa"/>
          </w:tcPr>
          <w:p w14:paraId="69FE51A8" w14:textId="77777777" w:rsidR="00E174C9" w:rsidRDefault="00E174C9" w:rsidP="00736A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0" w:type="dxa"/>
          </w:tcPr>
          <w:p w14:paraId="5C8F8AA6" w14:textId="77777777" w:rsidR="00E174C9" w:rsidRDefault="00E174C9" w:rsidP="00736A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4C9" w14:paraId="15759947" w14:textId="77777777" w:rsidTr="00E174C9">
        <w:tc>
          <w:tcPr>
            <w:tcW w:w="4839" w:type="dxa"/>
          </w:tcPr>
          <w:p w14:paraId="51678734" w14:textId="23ED57E3" w:rsidR="00E174C9" w:rsidRDefault="00E174C9" w:rsidP="00736A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</w:p>
        </w:tc>
        <w:tc>
          <w:tcPr>
            <w:tcW w:w="4840" w:type="dxa"/>
          </w:tcPr>
          <w:p w14:paraId="0BBAB9C6" w14:textId="19DB057E" w:rsidR="00E174C9" w:rsidRDefault="00E174C9" w:rsidP="00E174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</w:p>
        </w:tc>
      </w:tr>
    </w:tbl>
    <w:p w14:paraId="4BB02F84" w14:textId="77777777" w:rsidR="00F94C19" w:rsidRPr="00E174C9" w:rsidRDefault="00F94C19">
      <w:pPr>
        <w:rPr>
          <w:lang w:val="ru-RU"/>
        </w:rPr>
      </w:pPr>
    </w:p>
    <w:sectPr w:rsidR="00F94C19" w:rsidRPr="00E174C9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1DDF" w14:textId="77777777" w:rsidR="005D60E7" w:rsidRDefault="005D60E7" w:rsidP="005D60E7">
      <w:pPr>
        <w:spacing w:after="0" w:line="240" w:lineRule="auto"/>
      </w:pPr>
      <w:r>
        <w:separator/>
      </w:r>
    </w:p>
  </w:endnote>
  <w:endnote w:type="continuationSeparator" w:id="0">
    <w:p w14:paraId="0FC909A8" w14:textId="77777777" w:rsidR="005D60E7" w:rsidRDefault="005D60E7" w:rsidP="005D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220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6DCA8" w14:textId="2AD2746B" w:rsidR="005D60E7" w:rsidRDefault="005D6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D1AF6" w14:textId="77777777" w:rsidR="005D60E7" w:rsidRDefault="005D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B3C7" w14:textId="77777777" w:rsidR="005D60E7" w:rsidRDefault="005D60E7" w:rsidP="005D60E7">
      <w:pPr>
        <w:spacing w:after="0" w:line="240" w:lineRule="auto"/>
      </w:pPr>
      <w:r>
        <w:separator/>
      </w:r>
    </w:p>
  </w:footnote>
  <w:footnote w:type="continuationSeparator" w:id="0">
    <w:p w14:paraId="525C19B0" w14:textId="77777777" w:rsidR="005D60E7" w:rsidRDefault="005D60E7" w:rsidP="005D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E87"/>
    <w:multiLevelType w:val="hybridMultilevel"/>
    <w:tmpl w:val="0A744A22"/>
    <w:lvl w:ilvl="0" w:tplc="84B213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03C8E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697CC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E9190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88CA0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C7318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8BEC4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00848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C9DF6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30FAF"/>
    <w:multiLevelType w:val="hybridMultilevel"/>
    <w:tmpl w:val="DBAC03EE"/>
    <w:lvl w:ilvl="0" w:tplc="252A33FC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6E7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0EB3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C96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A285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2252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6BCA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02A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E7B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3353D"/>
    <w:multiLevelType w:val="hybridMultilevel"/>
    <w:tmpl w:val="421C9C40"/>
    <w:lvl w:ilvl="0" w:tplc="8084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8E3"/>
    <w:multiLevelType w:val="multilevel"/>
    <w:tmpl w:val="29506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6989279">
    <w:abstractNumId w:val="1"/>
  </w:num>
  <w:num w:numId="2" w16cid:durableId="1095980184">
    <w:abstractNumId w:val="0"/>
  </w:num>
  <w:num w:numId="3" w16cid:durableId="133261503">
    <w:abstractNumId w:val="2"/>
  </w:num>
  <w:num w:numId="4" w16cid:durableId="106961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0"/>
    <w:rsid w:val="0003673B"/>
    <w:rsid w:val="000A1F1F"/>
    <w:rsid w:val="00104AB6"/>
    <w:rsid w:val="00130EE7"/>
    <w:rsid w:val="00191A92"/>
    <w:rsid w:val="001F1828"/>
    <w:rsid w:val="00283461"/>
    <w:rsid w:val="003A19B3"/>
    <w:rsid w:val="003C1392"/>
    <w:rsid w:val="00596B21"/>
    <w:rsid w:val="005B2306"/>
    <w:rsid w:val="005D60E7"/>
    <w:rsid w:val="005E1B25"/>
    <w:rsid w:val="006342FB"/>
    <w:rsid w:val="006D2E47"/>
    <w:rsid w:val="00736A00"/>
    <w:rsid w:val="007A3FBC"/>
    <w:rsid w:val="009F041B"/>
    <w:rsid w:val="009F140B"/>
    <w:rsid w:val="00AD20BB"/>
    <w:rsid w:val="00B25BE6"/>
    <w:rsid w:val="00B441D3"/>
    <w:rsid w:val="00C22C6C"/>
    <w:rsid w:val="00C4183F"/>
    <w:rsid w:val="00C713C7"/>
    <w:rsid w:val="00D01E8F"/>
    <w:rsid w:val="00D84EEA"/>
    <w:rsid w:val="00E174C9"/>
    <w:rsid w:val="00EE63CA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6079"/>
  <w15:chartTrackingRefBased/>
  <w15:docId w15:val="{A4D0D748-647C-4946-8804-ADC7B83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00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0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3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0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736A00"/>
  </w:style>
  <w:style w:type="table" w:styleId="TableGrid">
    <w:name w:val="Table Grid"/>
    <w:basedOn w:val="TableNormal"/>
    <w:uiPriority w:val="39"/>
    <w:rsid w:val="00E1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0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E7"/>
    <w:rPr>
      <w:rFonts w:eastAsia="SimSu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0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E7"/>
    <w:rPr>
      <w:rFonts w:eastAsia="SimSu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2446</Words>
  <Characters>16442</Characters>
  <Application>Microsoft Office Word</Application>
  <DocSecurity>0</DocSecurity>
  <Lines>349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Gorshkov</dc:creator>
  <cp:keywords/>
  <dc:description/>
  <cp:lastModifiedBy>Tynchtykbek Aidarkulov</cp:lastModifiedBy>
  <cp:revision>6</cp:revision>
  <cp:lastPrinted>2025-10-02T03:20:00Z</cp:lastPrinted>
  <dcterms:created xsi:type="dcterms:W3CDTF">2025-09-25T15:38:00Z</dcterms:created>
  <dcterms:modified xsi:type="dcterms:W3CDTF">2025-10-02T03:26:00Z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2025-09-25T10:41:02Z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c2cd1f7c-4d9e-4631-a764-19df26436199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