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23A4" w14:textId="77777777" w:rsidR="003F3A02" w:rsidRPr="00797575" w:rsidRDefault="003F3A02" w:rsidP="003F3A02">
      <w:pPr>
        <w:spacing w:after="0"/>
        <w:jc w:val="center"/>
        <w:rPr>
          <w:rFonts w:ascii="Times New Roman" w:hAnsi="Times New Roman" w:cs="Times New Roman"/>
        </w:rPr>
      </w:pPr>
      <w:r w:rsidRPr="0016353C">
        <w:rPr>
          <w:rFonts w:ascii="Times New Roman" w:hAnsi="Times New Roman" w:cs="Times New Roman"/>
          <w:b/>
          <w:bCs/>
        </w:rPr>
        <w:t>Instructions for the preparation of a tender bid (for suppliers)</w:t>
      </w:r>
    </w:p>
    <w:p w14:paraId="62A81235" w14:textId="77777777" w:rsidR="003F3A02" w:rsidRPr="00797575" w:rsidRDefault="003F3A02" w:rsidP="003F3A02">
      <w:pPr>
        <w:spacing w:after="0"/>
        <w:rPr>
          <w:rFonts w:ascii="Times New Roman" w:hAnsi="Times New Roman" w:cs="Times New Roman"/>
        </w:rPr>
      </w:pPr>
    </w:p>
    <w:p w14:paraId="64CF6DF8"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The Tender Bid Preparation Instruction (hereinafter referred to as </w:t>
      </w:r>
      <w:r>
        <w:rPr>
          <w:rFonts w:ascii="Times New Roman" w:hAnsi="Times New Roman" w:cs="Times New Roman"/>
        </w:rPr>
        <w:t>BI</w:t>
      </w:r>
      <w:r w:rsidRPr="0016353C">
        <w:rPr>
          <w:rFonts w:ascii="Times New Roman" w:hAnsi="Times New Roman" w:cs="Times New Roman"/>
        </w:rPr>
        <w:t xml:space="preserve">) is a supplier's manual, which establishes the requirements for the tenderer's documentation and the conditions for its participation in the tender. </w:t>
      </w:r>
    </w:p>
    <w:p w14:paraId="04BAA075" w14:textId="77777777" w:rsidR="003F3A02" w:rsidRPr="00797575" w:rsidRDefault="003F3A02" w:rsidP="003F3A02">
      <w:pPr>
        <w:pStyle w:val="a7"/>
        <w:numPr>
          <w:ilvl w:val="0"/>
          <w:numId w:val="1"/>
        </w:numPr>
        <w:spacing w:after="0"/>
        <w:rPr>
          <w:rFonts w:ascii="Times New Roman" w:hAnsi="Times New Roman" w:cs="Times New Roman"/>
        </w:rPr>
      </w:pPr>
      <w:proofErr w:type="gramStart"/>
      <w:r w:rsidRPr="0016353C">
        <w:rPr>
          <w:rFonts w:ascii="Times New Roman" w:hAnsi="Times New Roman" w:cs="Times New Roman"/>
        </w:rPr>
        <w:t>In the event that</w:t>
      </w:r>
      <w:proofErr w:type="gramEnd"/>
      <w:r w:rsidRPr="0016353C">
        <w:rPr>
          <w:rFonts w:ascii="Times New Roman" w:hAnsi="Times New Roman" w:cs="Times New Roman"/>
        </w:rPr>
        <w:t xml:space="preserve"> the requirements to the participants or the evaluation criteria are not established by the tender documentation, the procuring entity shall not be entitled to apply the unspecified criteria or to require the tenderer to comply with the unspecified requirements or to provide documents not specified in the tender documentation. </w:t>
      </w:r>
    </w:p>
    <w:p w14:paraId="06AA686C"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Participants in the competition can be individuals and/or legal entities, in any combination with the official intention to conclude a contract. </w:t>
      </w:r>
    </w:p>
    <w:p w14:paraId="5274A863"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It is prohibited to participate in procurement for suppliers, as well as their managers included in the database of unscrupulous suppliers, as well as participating in another supplier as a subcontractor. </w:t>
      </w:r>
    </w:p>
    <w:p w14:paraId="606CBDCC"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The participant of the competition must not have a conflict of interest. Participants in the competition who are found to have a conflict of interest will be disqualified. </w:t>
      </w:r>
    </w:p>
    <w:p w14:paraId="46BA2129"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A </w:t>
      </w:r>
      <w:r w:rsidRPr="00F769F6">
        <w:rPr>
          <w:rFonts w:ascii="Times New Roman" w:hAnsi="Times New Roman" w:cs="Times New Roman"/>
        </w:rPr>
        <w:t>participant</w:t>
      </w:r>
      <w:r w:rsidRPr="0016353C">
        <w:rPr>
          <w:rFonts w:ascii="Times New Roman" w:hAnsi="Times New Roman" w:cs="Times New Roman"/>
        </w:rPr>
        <w:t xml:space="preserve"> may </w:t>
      </w:r>
      <w:proofErr w:type="gramStart"/>
      <w:r w:rsidRPr="0016353C">
        <w:rPr>
          <w:rFonts w:ascii="Times New Roman" w:hAnsi="Times New Roman" w:cs="Times New Roman"/>
        </w:rPr>
        <w:t>be considered to be</w:t>
      </w:r>
      <w:proofErr w:type="gramEnd"/>
      <w:r w:rsidRPr="0016353C">
        <w:rPr>
          <w:rFonts w:ascii="Times New Roman" w:hAnsi="Times New Roman" w:cs="Times New Roman"/>
        </w:rPr>
        <w:t xml:space="preserve"> in conflict of interest with one or more parties to this contest if any of the following circumstances occur, including, but not limited to: </w:t>
      </w:r>
    </w:p>
    <w:p w14:paraId="6D970ADE" w14:textId="77777777" w:rsidR="003F3A02" w:rsidRPr="00797575" w:rsidRDefault="003F3A02" w:rsidP="003F3A02">
      <w:pPr>
        <w:pStyle w:val="a7"/>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common legal representative for the purposes of this Bid. </w:t>
      </w:r>
    </w:p>
    <w:p w14:paraId="5688D2D8" w14:textId="77777777" w:rsidR="003F3A02" w:rsidRPr="00797575" w:rsidRDefault="003F3A02" w:rsidP="003F3A02">
      <w:pPr>
        <w:pStyle w:val="a7"/>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tenderer shall participate in more than one tender in this tender, either individually or as a partner in a joint venture, except for alternative bids permitted in the procurement documentation. This will result in the disqualification of all bids in which he</w:t>
      </w:r>
      <w:r>
        <w:rPr>
          <w:rFonts w:ascii="Times New Roman" w:hAnsi="Times New Roman" w:cs="Times New Roman"/>
        </w:rPr>
        <w:t>/she</w:t>
      </w:r>
      <w:r w:rsidRPr="0016353C">
        <w:rPr>
          <w:rFonts w:ascii="Times New Roman" w:hAnsi="Times New Roman" w:cs="Times New Roman"/>
        </w:rPr>
        <w:t xml:space="preserve"> participates. </w:t>
      </w:r>
    </w:p>
    <w:p w14:paraId="5A0D8D65" w14:textId="77777777" w:rsidR="003F3A02" w:rsidRPr="00797575" w:rsidRDefault="003F3A02" w:rsidP="003F3A02">
      <w:pPr>
        <w:pStyle w:val="a7"/>
        <w:numPr>
          <w:ilvl w:val="1"/>
          <w:numId w:val="1"/>
        </w:numPr>
        <w:spacing w:after="0"/>
        <w:ind w:left="990"/>
        <w:rPr>
          <w:rFonts w:ascii="Times New Roman" w:hAnsi="Times New Roman" w:cs="Times New Roman"/>
        </w:rPr>
      </w:pPr>
      <w:r>
        <w:rPr>
          <w:rFonts w:ascii="Times New Roman" w:hAnsi="Times New Roman" w:cs="Times New Roman"/>
        </w:rPr>
        <w:t>a t</w:t>
      </w:r>
      <w:r w:rsidRPr="0016353C">
        <w:rPr>
          <w:rFonts w:ascii="Times New Roman" w:hAnsi="Times New Roman" w:cs="Times New Roman"/>
        </w:rPr>
        <w:t xml:space="preserve">enderer who participated as a consulting party in the preparation of the draft or technical specifications of goods, works and services that are the subject of the tender proposal. </w:t>
      </w:r>
    </w:p>
    <w:p w14:paraId="54F64F3B" w14:textId="77777777" w:rsidR="003F3A02" w:rsidRPr="00797575" w:rsidRDefault="003F3A02" w:rsidP="003F3A02">
      <w:pPr>
        <w:pStyle w:val="a7"/>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tenderer who is related to the employees of the Procuring Organization who: </w:t>
      </w:r>
    </w:p>
    <w:p w14:paraId="084A67B9"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 participate directly or indirectly in the preparation of the tender documents or contract specifications and/or in the evaluation of the tender under such contract. </w:t>
      </w:r>
    </w:p>
    <w:p w14:paraId="2979DD27"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 Will participate in the implementation or supervision of such a contract if the conflict arising from such relationship has not been resolved in a manner acceptable to the Procuring Entity throughout the procurement and performance of the contract. </w:t>
      </w:r>
    </w:p>
    <w:p w14:paraId="4325FCCE"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All procurement participants must comply with the basic principles of ethical conduct in the procurement process and in the execution of procurement contracts. Members must not be involved in misconduct such as corruption, fraud, collusion, coercion, and bribery. </w:t>
      </w:r>
    </w:p>
    <w:p w14:paraId="23604A4C"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In the event of intra-group cooperation of persons participating in the procurement, the participants in the procurement procedure shall comply with the requirements of the legislation of the Kyrgyz Republic on interested transactions. </w:t>
      </w:r>
    </w:p>
    <w:p w14:paraId="400F08D2" w14:textId="77777777" w:rsidR="003F3A02" w:rsidRPr="00797575" w:rsidRDefault="003F3A02" w:rsidP="003F3A02">
      <w:pPr>
        <w:pStyle w:val="a7"/>
        <w:numPr>
          <w:ilvl w:val="0"/>
          <w:numId w:val="1"/>
        </w:numPr>
        <w:spacing w:after="0"/>
        <w:rPr>
          <w:rFonts w:ascii="Times New Roman" w:hAnsi="Times New Roman" w:cs="Times New Roman"/>
        </w:rPr>
      </w:pPr>
      <w:r w:rsidRPr="0016353C">
        <w:rPr>
          <w:rFonts w:ascii="Times New Roman" w:hAnsi="Times New Roman" w:cs="Times New Roman"/>
        </w:rPr>
        <w:t xml:space="preserve">If the procuring entity discovers the facts referred to in this paragraph, the proposals of such suppliers shall be rejected. </w:t>
      </w:r>
    </w:p>
    <w:p w14:paraId="1BD23782" w14:textId="77777777" w:rsidR="003F3A02" w:rsidRPr="00797575" w:rsidRDefault="003F3A02" w:rsidP="003F3A02">
      <w:pPr>
        <w:spacing w:after="0"/>
        <w:rPr>
          <w:rFonts w:ascii="Times New Roman" w:hAnsi="Times New Roman" w:cs="Times New Roman"/>
          <w:b/>
          <w:bCs/>
        </w:rPr>
      </w:pPr>
    </w:p>
    <w:p w14:paraId="6AA83A2F"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Competitive application </w:t>
      </w:r>
    </w:p>
    <w:p w14:paraId="52CD139C"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lastRenderedPageBreak/>
        <w:t xml:space="preserve">The tender prepared by the Tenderer (hereinafter referred to as the </w:t>
      </w:r>
      <w:r>
        <w:rPr>
          <w:rFonts w:ascii="Times New Roman" w:hAnsi="Times New Roman" w:cs="Times New Roman"/>
        </w:rPr>
        <w:t>“</w:t>
      </w:r>
      <w:r w:rsidRPr="0016353C">
        <w:rPr>
          <w:rFonts w:ascii="Times New Roman" w:hAnsi="Times New Roman" w:cs="Times New Roman"/>
        </w:rPr>
        <w:t>Tender Bid</w:t>
      </w:r>
      <w:r>
        <w:rPr>
          <w:rFonts w:ascii="Times New Roman" w:hAnsi="Times New Roman" w:cs="Times New Roman"/>
        </w:rPr>
        <w:t>,”</w:t>
      </w:r>
      <w:r w:rsidRPr="0016353C">
        <w:rPr>
          <w:rFonts w:ascii="Times New Roman" w:hAnsi="Times New Roman" w:cs="Times New Roman"/>
        </w:rPr>
        <w:t xml:space="preserve"> as well as the </w:t>
      </w:r>
      <w:r>
        <w:rPr>
          <w:rFonts w:ascii="Times New Roman" w:hAnsi="Times New Roman" w:cs="Times New Roman"/>
        </w:rPr>
        <w:t>“</w:t>
      </w:r>
      <w:r w:rsidRPr="0016353C">
        <w:rPr>
          <w:rFonts w:ascii="Times New Roman" w:hAnsi="Times New Roman" w:cs="Times New Roman"/>
        </w:rPr>
        <w:t>Proposal</w:t>
      </w:r>
      <w:r>
        <w:rPr>
          <w:rFonts w:ascii="Times New Roman" w:hAnsi="Times New Roman" w:cs="Times New Roman"/>
        </w:rPr>
        <w:t>”</w:t>
      </w:r>
      <w:r w:rsidRPr="0016353C">
        <w:rPr>
          <w:rFonts w:ascii="Times New Roman" w:hAnsi="Times New Roman" w:cs="Times New Roman"/>
        </w:rPr>
        <w:t xml:space="preserve">), as well as all correspondence and documents relating to this Tender exchanged between the Tenderer and the Procuring Entity, shall be drawn up in the language specified in the Invitation. </w:t>
      </w:r>
    </w:p>
    <w:p w14:paraId="20762F26"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If the proposal is accompanied by documents in other languages (copies of certificates, technical documentation, promotional materials, etc.), such documents must be translated into the language of the procurement documentation, and the translator's signature must be notarized. </w:t>
      </w:r>
    </w:p>
    <w:p w14:paraId="70FB98B9"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Participant shall bear all costs associated with the preparation and submission of the Bid. The procuring entity shall not be liable for the recovery of such costs, regardless of the outcome of the competition. </w:t>
      </w:r>
    </w:p>
    <w:p w14:paraId="7F1EDBD4"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Documentation included in the supplier's tender bid under the one-stage single-package procedure: </w:t>
      </w:r>
    </w:p>
    <w:p w14:paraId="5DE44023"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tender application/proposal of the supplier signed by the supplier's authorized person, including with the use of an electronic signature. </w:t>
      </w:r>
    </w:p>
    <w:p w14:paraId="187D5CC1"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completed forms for the supply of goods, scope of work and services in accordance with the Appendices of this Standard Tender Documentation. </w:t>
      </w:r>
    </w:p>
    <w:p w14:paraId="1C5C0A05"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technical specification of the proposed goods, consumables, spare parts, etc. </w:t>
      </w:r>
    </w:p>
    <w:p w14:paraId="11F9143F"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table of prices for the supply of goods. </w:t>
      </w:r>
    </w:p>
    <w:p w14:paraId="1B8A71BB"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statement of the scope of work/provision of services (for each type/name) indicating the cost including applicable taxes. </w:t>
      </w:r>
    </w:p>
    <w:p w14:paraId="2939D94B"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schedule of delivery of goods/performance of work/provision of services. </w:t>
      </w:r>
    </w:p>
    <w:p w14:paraId="2B51DB3A"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methodology for performing work/providing services (if required), </w:t>
      </w:r>
    </w:p>
    <w:p w14:paraId="7E5416C2"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licenses/permits, in accordance with the current legislation of the Kyrgyz Republic on the licensing and permitting system (if applicable), patents, etc. </w:t>
      </w:r>
    </w:p>
    <w:p w14:paraId="7AFA16BF"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information on qualifications, with supporting documents on compliance with the established qualification requirements (letters of authorization, certificates, financial statements, copies of contracts confirming experience and acts of acceptance of goods, works and services). </w:t>
      </w:r>
    </w:p>
    <w:p w14:paraId="67478A68"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guarantee security for the supplier's tender bid. </w:t>
      </w:r>
    </w:p>
    <w:p w14:paraId="3E959CB6" w14:textId="77777777" w:rsidR="003F3A02" w:rsidRPr="00797575" w:rsidRDefault="003F3A02" w:rsidP="003F3A02">
      <w:pPr>
        <w:pStyle w:val="a7"/>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registration documents of the supplier: extract from the state register of legal entities, certificate of an individual entrepreneur, copy of the Charter/Regulations of the participant, documents confirming the authority of the person who signed the Tender Bid. </w:t>
      </w:r>
    </w:p>
    <w:p w14:paraId="0CA9BF4C"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Documentation included in the supplier's tender bid under a one-stage two-package procedure. </w:t>
      </w:r>
    </w:p>
    <w:p w14:paraId="671C7D88"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tender proposal shall consist of two packages of documents submitted simultaneously, one of which shall contain the Technical Proposal, and the other - the </w:t>
      </w:r>
      <w:r>
        <w:rPr>
          <w:rFonts w:ascii="Times New Roman" w:hAnsi="Times New Roman" w:cs="Times New Roman"/>
        </w:rPr>
        <w:t>Fee</w:t>
      </w:r>
      <w:r w:rsidRPr="0016353C">
        <w:rPr>
          <w:rFonts w:ascii="Times New Roman" w:hAnsi="Times New Roman" w:cs="Times New Roman"/>
        </w:rPr>
        <w:t xml:space="preserve"> Proposal, and both packages of documents shall be included in the tender bid. </w:t>
      </w:r>
    </w:p>
    <w:p w14:paraId="4B08A9B7"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supplier's technical proposal must consist of the following documents: </w:t>
      </w:r>
    </w:p>
    <w:p w14:paraId="2663AD1F"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Supplier's technical proposal signed by the supplier's authorized person, including the use of an electronic signature. </w:t>
      </w:r>
    </w:p>
    <w:p w14:paraId="58F5375B"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guarantee security for the supplier's tender bid. </w:t>
      </w:r>
    </w:p>
    <w:p w14:paraId="525987A2"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lastRenderedPageBreak/>
        <w:t xml:space="preserve">technical specification of the proposed goods, consumables, spare parts, etc. </w:t>
      </w:r>
    </w:p>
    <w:p w14:paraId="4FB52911"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schedule of delivery of goods/performance of work/provision of services. </w:t>
      </w:r>
    </w:p>
    <w:p w14:paraId="73F55B7F"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methodology for performing work/providing services (if required). </w:t>
      </w:r>
    </w:p>
    <w:p w14:paraId="26C40DAD"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licenses/permits, in accordance with the current legislation of the Kyrgyz Republic on the licensing and permitting system (if applicable), patents, etc. </w:t>
      </w:r>
    </w:p>
    <w:p w14:paraId="4A4D671C"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Information on qualifications, with supporting documents on compliance with the established qualification requirements (letters of authorization, certificates, financial statements, copies of contracts confirming experience and acts of acceptance of goods, works and services). </w:t>
      </w:r>
    </w:p>
    <w:p w14:paraId="16797F08"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Registration documents of the supplier: extract from the state register of legal entities, certificate of an individual entrepreneur, a copy of the Charter/Regulations of the participant, documents confirming the authority of the person who signed the Tender Bid. </w:t>
      </w:r>
    </w:p>
    <w:p w14:paraId="4E0B11EC"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Other documents required by the procurement documentation. </w:t>
      </w:r>
    </w:p>
    <w:p w14:paraId="19BB7788"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supplier's price proposal must consist of the following documents: </w:t>
      </w:r>
    </w:p>
    <w:p w14:paraId="47E56C5B"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Supplier's price proposal signed by the supplier's authorized person, including the use of an electronic signature. </w:t>
      </w:r>
    </w:p>
    <w:p w14:paraId="477AB1A1"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table of prices for the supply of goods. </w:t>
      </w:r>
    </w:p>
    <w:p w14:paraId="48FD4DC5"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statement of the scope of work/provision of services (for each type/name) indicating the cost including applicable taxes. </w:t>
      </w:r>
    </w:p>
    <w:p w14:paraId="389D6811" w14:textId="77777777" w:rsidR="003F3A02" w:rsidRPr="00797575" w:rsidRDefault="003F3A02" w:rsidP="003F3A02">
      <w:pPr>
        <w:pStyle w:val="a7"/>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other documents required by the procurement documentation. </w:t>
      </w:r>
    </w:p>
    <w:p w14:paraId="09AE246D"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tender application is submitted in electronic form, by uploading the completed forms and related documents in scanned form to the System. </w:t>
      </w:r>
    </w:p>
    <w:p w14:paraId="78B831AD"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Each supplier can submit only one proposal for participation in the procurement - either independently or as part of a simple partnership. If a supplier has submitted more than one proposal - either alone or as part of a simple partnership - all proposals of this supplier will be rejected. </w:t>
      </w:r>
    </w:p>
    <w:p w14:paraId="4D56B002"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tenderer may amend, replace, or withdraw its Tender Bid after its submission in the System before the expiry of the deadline for submission of tenders set forth in the Invitation of the Procuring Entity. </w:t>
      </w:r>
    </w:p>
    <w:p w14:paraId="11AB27CD"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 may request clarification on the provisions of the procurement documentation through the System no later than 3 (three) business days prior to the expiry of the deadline for submission of bids through the System. The procuring entity shall, no later than two (2) working days, respond to such request through the System. </w:t>
      </w:r>
    </w:p>
    <w:p w14:paraId="6E22AC9A"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 case of amendments to the procurement documentation, the deadline for submission of bids shall be extended for a period of at least 5 (five) business days. At the same time, the System automatically sends notifications to all participants about the extension of the deadlines. </w:t>
      </w:r>
    </w:p>
    <w:p w14:paraId="43447493"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procuring entity is permitted to clarify aspects of the description of the subject matter of the procurement by: </w:t>
      </w:r>
    </w:p>
    <w:p w14:paraId="34390325"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lastRenderedPageBreak/>
        <w:t>- Deletion or modification of any aspect of the originally specified technical, quality or performance characteristics of the subject of procurement and the addition of new characteristics that meet the requirements of the</w:t>
      </w:r>
      <w:r>
        <w:rPr>
          <w:rFonts w:ascii="Times New Roman" w:hAnsi="Times New Roman" w:cs="Times New Roman"/>
        </w:rPr>
        <w:t xml:space="preserve"> S</w:t>
      </w:r>
      <w:r w:rsidRPr="00FC01A2">
        <w:rPr>
          <w:rFonts w:ascii="Times New Roman" w:hAnsi="Times New Roman" w:cs="Times New Roman"/>
        </w:rPr>
        <w:t xml:space="preserve">tandard </w:t>
      </w:r>
      <w:r>
        <w:rPr>
          <w:rFonts w:ascii="Times New Roman" w:hAnsi="Times New Roman" w:cs="Times New Roman"/>
        </w:rPr>
        <w:t>O</w:t>
      </w:r>
      <w:r w:rsidRPr="00FC01A2">
        <w:rPr>
          <w:rFonts w:ascii="Times New Roman" w:hAnsi="Times New Roman" w:cs="Times New Roman"/>
        </w:rPr>
        <w:t>rder</w:t>
      </w:r>
      <w:r w:rsidRPr="0016353C">
        <w:rPr>
          <w:rFonts w:ascii="Times New Roman" w:hAnsi="Times New Roman" w:cs="Times New Roman"/>
        </w:rPr>
        <w:t xml:space="preserve">. </w:t>
      </w:r>
    </w:p>
    <w:p w14:paraId="0A3A70D2"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 Deletion or modification of any of the original criteria for the consideration or evaluation of a proposal, or the inclusion of new criteria that meet the requirements of the </w:t>
      </w:r>
      <w:r w:rsidRPr="00FC01A2">
        <w:rPr>
          <w:rFonts w:ascii="Times New Roman" w:hAnsi="Times New Roman" w:cs="Times New Roman"/>
        </w:rPr>
        <w:t xml:space="preserve">Standard Order </w:t>
      </w:r>
      <w:r w:rsidRPr="0016353C">
        <w:rPr>
          <w:rFonts w:ascii="Times New Roman" w:hAnsi="Times New Roman" w:cs="Times New Roman"/>
        </w:rPr>
        <w:t xml:space="preserve">if those criteria relate to a change in the technical, quality or performance characteristics of the subject matter of the procurement. </w:t>
      </w:r>
    </w:p>
    <w:p w14:paraId="7F06DB9D" w14:textId="77777777" w:rsidR="003F3A02" w:rsidRPr="00797575" w:rsidRDefault="003F3A02" w:rsidP="003F3A02">
      <w:pPr>
        <w:pStyle w:val="a7"/>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 communicate any deletion, modification, or inclusion to submit final proposals. </w:t>
      </w:r>
    </w:p>
    <w:p w14:paraId="45240022" w14:textId="77777777" w:rsidR="003F3A02" w:rsidRPr="00797575" w:rsidRDefault="003F3A02" w:rsidP="003F3A02">
      <w:pPr>
        <w:spacing w:after="0"/>
        <w:rPr>
          <w:rFonts w:ascii="Times New Roman" w:hAnsi="Times New Roman" w:cs="Times New Roman"/>
        </w:rPr>
      </w:pPr>
    </w:p>
    <w:p w14:paraId="1125F9FC"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Validity period of the supplier's proposal </w:t>
      </w:r>
    </w:p>
    <w:p w14:paraId="78F40605" w14:textId="77777777" w:rsidR="003F3A02" w:rsidRPr="00797575" w:rsidRDefault="003F3A02" w:rsidP="003F3A02">
      <w:pPr>
        <w:pStyle w:val="a7"/>
        <w:numPr>
          <w:ilvl w:val="0"/>
          <w:numId w:val="3"/>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Validity period of the supplier's </w:t>
      </w:r>
      <w:r w:rsidRPr="00796198">
        <w:rPr>
          <w:rFonts w:ascii="Times New Roman" w:hAnsi="Times New Roman" w:cs="Times New Roman"/>
        </w:rPr>
        <w:t>proposal</w:t>
      </w:r>
      <w:r w:rsidRPr="0016353C">
        <w:rPr>
          <w:rFonts w:ascii="Times New Roman" w:hAnsi="Times New Roman" w:cs="Times New Roman"/>
        </w:rPr>
        <w:t xml:space="preserve">: </w:t>
      </w:r>
    </w:p>
    <w:p w14:paraId="4497E6FA" w14:textId="77777777" w:rsidR="003F3A02" w:rsidRPr="00797575" w:rsidRDefault="003F3A02" w:rsidP="003F3A02">
      <w:pPr>
        <w:pStyle w:val="a7"/>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The supplier's bid shall be valid for the period specified in the tender documentation. The validity period of the supplier's bid shall commence on the date set by the Customer as the deadline for submission of bids. A supplier's offer valid for a shorter period will be rejected by the Customer as not meeting the requirements. </w:t>
      </w:r>
    </w:p>
    <w:p w14:paraId="1284D3B9" w14:textId="77777777" w:rsidR="003F3A02" w:rsidRPr="00797575" w:rsidRDefault="003F3A02" w:rsidP="003F3A02">
      <w:pPr>
        <w:pStyle w:val="a7"/>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the supplier's proposal shall be valid and may not be amended or withdrawn within the period specified by the supplier, in exceptional cases, if the evaluation and signing of the contract cannot be completed within the period of validity of the Proposal, the procuring entity may request the supplier to extend the validity of the proposal for a specified period through the System; </w:t>
      </w:r>
    </w:p>
    <w:p w14:paraId="0CBB1DF4" w14:textId="77777777" w:rsidR="003F3A02" w:rsidRPr="00797575" w:rsidRDefault="003F3A02" w:rsidP="003F3A02">
      <w:pPr>
        <w:pStyle w:val="a7"/>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it is not allowed to extend the period after the expiration of the validity period of the Supplier's proposals. The Supplier shall have the right to refuse a request to extend the validity of its Offer without losing the right to return the Supplier's Bid Guarantee Bond. </w:t>
      </w:r>
    </w:p>
    <w:p w14:paraId="0178C088" w14:textId="77777777" w:rsidR="003F3A02" w:rsidRPr="00797575" w:rsidRDefault="003F3A02" w:rsidP="003F3A02">
      <w:pPr>
        <w:pStyle w:val="a7"/>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If, in accordance with the procurement documentation, a security for the tender bid by a bank guarantee is requested, it shall also be extended for 14 days after the expiry of the extended validity period of the supplier's tender. The supplier who has satisfied the request shall not be obliged and shall not have the right to change its tender offer. </w:t>
      </w:r>
    </w:p>
    <w:p w14:paraId="107EDF4D" w14:textId="77777777" w:rsidR="003F3A02" w:rsidRPr="00797575" w:rsidRDefault="003F3A02" w:rsidP="003F3A02">
      <w:pPr>
        <w:pStyle w:val="a7"/>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Suppliers have the right not to extend the validity period of offers, in which case their offer is subject to rejection. </w:t>
      </w:r>
    </w:p>
    <w:p w14:paraId="6E4941CC" w14:textId="77777777" w:rsidR="003F3A02" w:rsidRPr="00797575" w:rsidRDefault="003F3A02" w:rsidP="003F3A02">
      <w:pPr>
        <w:spacing w:after="0"/>
        <w:rPr>
          <w:rFonts w:ascii="Times New Roman" w:hAnsi="Times New Roman" w:cs="Times New Roman"/>
          <w:b/>
          <w:bCs/>
        </w:rPr>
      </w:pPr>
    </w:p>
    <w:p w14:paraId="0B6E16A0"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Price and currency of the tender bid </w:t>
      </w:r>
    </w:p>
    <w:p w14:paraId="1966BC63" w14:textId="77777777" w:rsidR="003F3A02" w:rsidRPr="00797575" w:rsidRDefault="003F3A02" w:rsidP="003F3A02">
      <w:pPr>
        <w:pStyle w:val="a7"/>
        <w:numPr>
          <w:ilvl w:val="0"/>
          <w:numId w:val="4"/>
        </w:numPr>
        <w:spacing w:after="0"/>
        <w:rPr>
          <w:rFonts w:ascii="Times New Roman" w:hAnsi="Times New Roman" w:cs="Times New Roman"/>
        </w:rPr>
      </w:pPr>
      <w:r w:rsidRPr="0016353C">
        <w:rPr>
          <w:rFonts w:ascii="Times New Roman" w:hAnsi="Times New Roman" w:cs="Times New Roman"/>
        </w:rPr>
        <w:t xml:space="preserve">The prices quoted by the supplier must include all costs, taxes, duties, and fees paid by the supplier in connection with the supply of goods, the performance of work or the provision of services. </w:t>
      </w:r>
    </w:p>
    <w:p w14:paraId="1555E7A7" w14:textId="77777777" w:rsidR="003F3A02" w:rsidRPr="00797575" w:rsidRDefault="003F3A02" w:rsidP="003F3A02">
      <w:pPr>
        <w:pStyle w:val="a7"/>
        <w:numPr>
          <w:ilvl w:val="0"/>
          <w:numId w:val="4"/>
        </w:numPr>
        <w:spacing w:after="0"/>
        <w:rPr>
          <w:rFonts w:ascii="Times New Roman" w:hAnsi="Times New Roman" w:cs="Times New Roman"/>
        </w:rPr>
      </w:pPr>
      <w:r w:rsidRPr="0016353C">
        <w:rPr>
          <w:rFonts w:ascii="Times New Roman" w:hAnsi="Times New Roman" w:cs="Times New Roman"/>
        </w:rPr>
        <w:t xml:space="preserve">The prices offered by the supplier shall remain fixed for the duration of the </w:t>
      </w:r>
      <w:r>
        <w:rPr>
          <w:rFonts w:ascii="Times New Roman" w:hAnsi="Times New Roman" w:cs="Times New Roman"/>
        </w:rPr>
        <w:t xml:space="preserve">Proposal </w:t>
      </w:r>
      <w:r w:rsidRPr="0016353C">
        <w:rPr>
          <w:rFonts w:ascii="Times New Roman" w:hAnsi="Times New Roman" w:cs="Times New Roman"/>
        </w:rPr>
        <w:t xml:space="preserve">and the performance of the contract and shall not change under any circumstances, except in the event of a change in tax legislation. A </w:t>
      </w:r>
      <w:r>
        <w:rPr>
          <w:rFonts w:ascii="Times New Roman" w:hAnsi="Times New Roman" w:cs="Times New Roman"/>
        </w:rPr>
        <w:t>P</w:t>
      </w:r>
      <w:r w:rsidRPr="0016353C">
        <w:rPr>
          <w:rFonts w:ascii="Times New Roman" w:hAnsi="Times New Roman" w:cs="Times New Roman"/>
        </w:rPr>
        <w:t xml:space="preserve">roposal that allows for price changes will be considered as not meeting the basic conditions of the procurement documentation and shall be rejected. </w:t>
      </w:r>
    </w:p>
    <w:p w14:paraId="1BA4A24D" w14:textId="77777777" w:rsidR="003F3A02" w:rsidRPr="00797575" w:rsidRDefault="003F3A02" w:rsidP="003F3A02">
      <w:pPr>
        <w:pStyle w:val="a7"/>
        <w:numPr>
          <w:ilvl w:val="0"/>
          <w:numId w:val="4"/>
        </w:numPr>
        <w:spacing w:after="0"/>
        <w:rPr>
          <w:rFonts w:ascii="Times New Roman" w:hAnsi="Times New Roman" w:cs="Times New Roman"/>
        </w:rPr>
      </w:pPr>
      <w:r w:rsidRPr="0016353C">
        <w:rPr>
          <w:rFonts w:ascii="Times New Roman" w:hAnsi="Times New Roman" w:cs="Times New Roman"/>
        </w:rPr>
        <w:t xml:space="preserve">Prices must be indicated in the currency provided for in the procurement documentation. In cases where a foreign currency is established, then payment under the contract shall be made in the </w:t>
      </w:r>
      <w:r w:rsidRPr="0016353C">
        <w:rPr>
          <w:rFonts w:ascii="Times New Roman" w:hAnsi="Times New Roman" w:cs="Times New Roman"/>
        </w:rPr>
        <w:lastRenderedPageBreak/>
        <w:t xml:space="preserve">national currency in the amount equivalent to the foreign currency, at the official exchange rate of the relevant currency established by the National Bank of the Kyrgyz Republic on the day of payment, or at a fixed rate in the contract. </w:t>
      </w:r>
    </w:p>
    <w:p w14:paraId="15F31308" w14:textId="77777777" w:rsidR="003F3A02" w:rsidRPr="00797575" w:rsidRDefault="003F3A02" w:rsidP="003F3A02">
      <w:pPr>
        <w:spacing w:after="0"/>
        <w:rPr>
          <w:rFonts w:ascii="Times New Roman" w:hAnsi="Times New Roman" w:cs="Times New Roman"/>
          <w:b/>
          <w:bCs/>
        </w:rPr>
      </w:pPr>
    </w:p>
    <w:p w14:paraId="292DD015"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Guarantee security of the tender bid </w:t>
      </w:r>
    </w:p>
    <w:p w14:paraId="5D94759E"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guaranteed security of the tender bid (hereinafter referred to as the </w:t>
      </w:r>
      <w:bookmarkStart w:id="0" w:name="_Hlk201154072"/>
      <w:r>
        <w:rPr>
          <w:rFonts w:ascii="Times New Roman" w:hAnsi="Times New Roman" w:cs="Times New Roman"/>
        </w:rPr>
        <w:t>GSTB</w:t>
      </w:r>
      <w:bookmarkEnd w:id="0"/>
      <w:r w:rsidRPr="0016353C">
        <w:rPr>
          <w:rFonts w:ascii="Times New Roman" w:hAnsi="Times New Roman" w:cs="Times New Roman"/>
        </w:rPr>
        <w:t xml:space="preserve">) shall be applied if such a requirement is established by the procuring organization. In this case, the guaranteed security of the supplier's tender bid may be carried out: </w:t>
      </w:r>
    </w:p>
    <w:p w14:paraId="23710CE3"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cash in the amount not exceeding 2 per cent of the planned value of the subject of procurement, which shall be paid into the settlement account of the procuring entity. </w:t>
      </w:r>
    </w:p>
    <w:p w14:paraId="430815D0"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the form of a bank guarantee. </w:t>
      </w:r>
    </w:p>
    <w:p w14:paraId="2839B2FE"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the form of a declaration guaranteeing the Supplier's </w:t>
      </w:r>
      <w:r>
        <w:rPr>
          <w:rFonts w:ascii="Times New Roman" w:hAnsi="Times New Roman" w:cs="Times New Roman"/>
        </w:rPr>
        <w:t>Proposal</w:t>
      </w:r>
      <w:r w:rsidRPr="0016353C">
        <w:rPr>
          <w:rFonts w:ascii="Times New Roman" w:hAnsi="Times New Roman" w:cs="Times New Roman"/>
        </w:rPr>
        <w:t xml:space="preserve">. </w:t>
      </w:r>
    </w:p>
    <w:p w14:paraId="4894795D"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In case of </w:t>
      </w:r>
      <w:r w:rsidRPr="00A23392">
        <w:rPr>
          <w:rFonts w:ascii="Times New Roman" w:hAnsi="Times New Roman" w:cs="Times New Roman"/>
        </w:rPr>
        <w:t>GSTB</w:t>
      </w:r>
      <w:r w:rsidRPr="0016353C">
        <w:rPr>
          <w:rFonts w:ascii="Times New Roman" w:hAnsi="Times New Roman" w:cs="Times New Roman"/>
        </w:rPr>
        <w:t xml:space="preserve"> payment</w:t>
      </w:r>
      <w:r w:rsidRPr="00A23392">
        <w:t xml:space="preserve"> </w:t>
      </w:r>
      <w:r w:rsidRPr="0016353C">
        <w:rPr>
          <w:rFonts w:ascii="Times New Roman" w:hAnsi="Times New Roman" w:cs="Times New Roman"/>
        </w:rPr>
        <w:t>in cash, the supplier is obliged to pay and attach documentary evidence of payment for</w:t>
      </w:r>
      <w:r>
        <w:rPr>
          <w:rFonts w:ascii="Times New Roman" w:hAnsi="Times New Roman" w:cs="Times New Roman"/>
        </w:rPr>
        <w:t xml:space="preserve"> </w:t>
      </w:r>
      <w:r w:rsidRPr="00A71C25">
        <w:rPr>
          <w:rFonts w:ascii="Times New Roman" w:hAnsi="Times New Roman" w:cs="Times New Roman"/>
        </w:rPr>
        <w:t>GSTB</w:t>
      </w:r>
      <w:r w:rsidRPr="0016353C">
        <w:rPr>
          <w:rFonts w:ascii="Times New Roman" w:hAnsi="Times New Roman" w:cs="Times New Roman"/>
        </w:rPr>
        <w:t xml:space="preserve">, and in case of submission of a Bid not for all lots, payment is made in proportion to the lots for which the Bid is submitted. </w:t>
      </w:r>
    </w:p>
    <w:p w14:paraId="0300BC61"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In addition, the supplier shall ensure the receipt of funds to the settlement account of the procuring entity, indicating the purchase number until the bids are opened. </w:t>
      </w:r>
    </w:p>
    <w:p w14:paraId="4E4795AD"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w:t>
      </w:r>
      <w:r w:rsidRPr="00FA151B">
        <w:rPr>
          <w:rFonts w:ascii="Times New Roman" w:hAnsi="Times New Roman" w:cs="Times New Roman"/>
        </w:rPr>
        <w:t>GSTB</w:t>
      </w:r>
      <w:r w:rsidRPr="0016353C">
        <w:rPr>
          <w:rFonts w:ascii="Times New Roman" w:hAnsi="Times New Roman" w:cs="Times New Roman"/>
        </w:rPr>
        <w:t xml:space="preserve"> must be valid for 14 days after the initial term of the supplier's </w:t>
      </w:r>
      <w:r>
        <w:rPr>
          <w:rFonts w:ascii="Times New Roman" w:hAnsi="Times New Roman" w:cs="Times New Roman"/>
        </w:rPr>
        <w:t>proposal</w:t>
      </w:r>
      <w:r w:rsidRPr="0016353C">
        <w:rPr>
          <w:rFonts w:ascii="Times New Roman" w:hAnsi="Times New Roman" w:cs="Times New Roman"/>
        </w:rPr>
        <w:t xml:space="preserve">, or after any renewal period if requested. </w:t>
      </w:r>
    </w:p>
    <w:p w14:paraId="2B45EFC8"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Payment for </w:t>
      </w:r>
      <w:r w:rsidRPr="00FA151B">
        <w:rPr>
          <w:rFonts w:ascii="Times New Roman" w:hAnsi="Times New Roman" w:cs="Times New Roman"/>
        </w:rPr>
        <w:t>GSTB</w:t>
      </w:r>
      <w:r w:rsidRPr="0016353C">
        <w:rPr>
          <w:rFonts w:ascii="Times New Roman" w:hAnsi="Times New Roman" w:cs="Times New Roman"/>
        </w:rPr>
        <w:t xml:space="preserve"> by participants in a simple partnership is carried out by any of the partners. In the case of a simple partnership (consortium), if the guarantee of the offer is submitted in the form of a bank guarantee, the bank guarantee must be issued in the name of the simple partnership (consortium). </w:t>
      </w:r>
    </w:p>
    <w:p w14:paraId="350CA5A5"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supplier's </w:t>
      </w:r>
      <w:r w:rsidRPr="00FA151B">
        <w:rPr>
          <w:rFonts w:ascii="Times New Roman" w:hAnsi="Times New Roman" w:cs="Times New Roman"/>
        </w:rPr>
        <w:t>GSTB</w:t>
      </w:r>
      <w:r w:rsidRPr="0016353C">
        <w:rPr>
          <w:rFonts w:ascii="Times New Roman" w:hAnsi="Times New Roman" w:cs="Times New Roman"/>
        </w:rPr>
        <w:t xml:space="preserve"> is withheld in the following cases: </w:t>
      </w:r>
    </w:p>
    <w:p w14:paraId="413B8A8D"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refusal to sign a contract on the terms of the procurement </w:t>
      </w:r>
      <w:proofErr w:type="gramStart"/>
      <w:r w:rsidRPr="0016353C">
        <w:rPr>
          <w:rFonts w:ascii="Times New Roman" w:hAnsi="Times New Roman" w:cs="Times New Roman"/>
        </w:rPr>
        <w:t>documentation and</w:t>
      </w:r>
      <w:proofErr w:type="gramEnd"/>
      <w:r w:rsidRPr="0016353C">
        <w:rPr>
          <w:rFonts w:ascii="Times New Roman" w:hAnsi="Times New Roman" w:cs="Times New Roman"/>
        </w:rPr>
        <w:t xml:space="preserve"> provided for in the supplier's proposal, except for cases where such refusal is related to the introduction of a state of emergency, a state of emergency or force majeure, provided that the procurement announcement is published before the introduction of such a regime or before the occurrence of such </w:t>
      </w:r>
      <w:proofErr w:type="gramStart"/>
      <w:r w:rsidRPr="0016353C">
        <w:rPr>
          <w:rFonts w:ascii="Times New Roman" w:hAnsi="Times New Roman" w:cs="Times New Roman"/>
        </w:rPr>
        <w:t>circumstances;</w:t>
      </w:r>
      <w:proofErr w:type="gramEnd"/>
      <w:r w:rsidRPr="0016353C">
        <w:rPr>
          <w:rFonts w:ascii="Times New Roman" w:hAnsi="Times New Roman" w:cs="Times New Roman"/>
        </w:rPr>
        <w:t xml:space="preserve"> </w:t>
      </w:r>
    </w:p>
    <w:p w14:paraId="243F145F"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withdrawing the Supplier's Offer after its opening and before its expiration. </w:t>
      </w:r>
    </w:p>
    <w:p w14:paraId="22FD4F7D"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w:t>
      </w:r>
      <w:r>
        <w:rPr>
          <w:rFonts w:ascii="Times New Roman" w:hAnsi="Times New Roman" w:cs="Times New Roman"/>
        </w:rPr>
        <w:t>f</w:t>
      </w:r>
      <w:r w:rsidRPr="0016353C">
        <w:rPr>
          <w:rFonts w:ascii="Times New Roman" w:hAnsi="Times New Roman" w:cs="Times New Roman"/>
        </w:rPr>
        <w:t xml:space="preserve">ailure to accept the correction of arithmetic errors. </w:t>
      </w:r>
    </w:p>
    <w:p w14:paraId="6ADF331E"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refusal to provide a guaranteed security for the performance of the contract, if such a requirement is established by the procurement documentation. </w:t>
      </w:r>
    </w:p>
    <w:p w14:paraId="0FB8F565" w14:textId="77777777" w:rsidR="003F3A02" w:rsidRPr="00797575" w:rsidRDefault="003F3A02" w:rsidP="003F3A02">
      <w:pPr>
        <w:pStyle w:val="a7"/>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above grounds for withholding </w:t>
      </w:r>
      <w:r w:rsidRPr="00C75D0D">
        <w:rPr>
          <w:rFonts w:ascii="Times New Roman" w:hAnsi="Times New Roman" w:cs="Times New Roman"/>
        </w:rPr>
        <w:t>GSTB</w:t>
      </w:r>
      <w:r w:rsidRPr="0016353C">
        <w:rPr>
          <w:rFonts w:ascii="Times New Roman" w:hAnsi="Times New Roman" w:cs="Times New Roman"/>
        </w:rPr>
        <w:t xml:space="preserve"> must be reflected in the bank guarantee. </w:t>
      </w:r>
    </w:p>
    <w:p w14:paraId="45AAE1F5" w14:textId="77777777" w:rsidR="003F3A02" w:rsidRPr="00797575" w:rsidRDefault="003F3A02" w:rsidP="003F3A02">
      <w:pPr>
        <w:pStyle w:val="a7"/>
        <w:tabs>
          <w:tab w:val="left" w:pos="360"/>
        </w:tabs>
        <w:spacing w:after="0"/>
        <w:ind w:left="270"/>
        <w:rPr>
          <w:rFonts w:ascii="Times New Roman" w:hAnsi="Times New Roman" w:cs="Times New Roman"/>
        </w:rPr>
      </w:pPr>
      <w:r w:rsidRPr="00C75D0D">
        <w:rPr>
          <w:rFonts w:ascii="Times New Roman" w:hAnsi="Times New Roman" w:cs="Times New Roman"/>
        </w:rPr>
        <w:t xml:space="preserve">GSTB </w:t>
      </w:r>
      <w:r w:rsidRPr="0016353C">
        <w:rPr>
          <w:rFonts w:ascii="Times New Roman" w:hAnsi="Times New Roman" w:cs="Times New Roman"/>
        </w:rPr>
        <w:t xml:space="preserve">shall be returned to the Tender Participants in the same amount and currency in which it was provided, after signing an agreement with the winner of the tender and providing a guarantee for the performance of the contract (if required) or after the expiration of the </w:t>
      </w:r>
      <w:r w:rsidRPr="00FE1802">
        <w:rPr>
          <w:rFonts w:ascii="Times New Roman" w:hAnsi="Times New Roman" w:cs="Times New Roman"/>
        </w:rPr>
        <w:t>GSTB</w:t>
      </w:r>
      <w:r w:rsidRPr="0016353C">
        <w:rPr>
          <w:rFonts w:ascii="Times New Roman" w:hAnsi="Times New Roman" w:cs="Times New Roman"/>
        </w:rPr>
        <w:t xml:space="preserve">, whichever occurs first. </w:t>
      </w:r>
    </w:p>
    <w:p w14:paraId="47AB4BAB" w14:textId="77777777" w:rsidR="003F3A02" w:rsidRPr="00797575" w:rsidRDefault="003F3A02" w:rsidP="003F3A02">
      <w:pPr>
        <w:spacing w:after="0"/>
        <w:rPr>
          <w:rFonts w:ascii="Times New Roman" w:hAnsi="Times New Roman" w:cs="Times New Roman"/>
          <w:b/>
          <w:bCs/>
        </w:rPr>
      </w:pPr>
    </w:p>
    <w:p w14:paraId="1182CCE5"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Consortium </w:t>
      </w:r>
    </w:p>
    <w:p w14:paraId="61FB24A3" w14:textId="77777777" w:rsidR="003F3A02" w:rsidRPr="00797575" w:rsidRDefault="003F3A02" w:rsidP="003F3A02">
      <w:pPr>
        <w:pStyle w:val="a7"/>
        <w:numPr>
          <w:ilvl w:val="0"/>
          <w:numId w:val="6"/>
        </w:numPr>
        <w:tabs>
          <w:tab w:val="left" w:pos="630"/>
        </w:tabs>
        <w:spacing w:after="0"/>
        <w:ind w:left="360" w:hanging="540"/>
        <w:rPr>
          <w:rFonts w:ascii="Times New Roman" w:hAnsi="Times New Roman" w:cs="Times New Roman"/>
        </w:rPr>
      </w:pPr>
      <w:r w:rsidRPr="0016353C">
        <w:rPr>
          <w:rFonts w:ascii="Times New Roman" w:hAnsi="Times New Roman" w:cs="Times New Roman"/>
        </w:rPr>
        <w:t xml:space="preserve">A supplier's proposal submitted by a simple partnership consisting of two or more persons (consortium) must meet the following requirements: </w:t>
      </w:r>
    </w:p>
    <w:p w14:paraId="7AB96AEF"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lastRenderedPageBreak/>
        <w:t xml:space="preserve">the lead partner shall meet at least 40 per cent of the qualification requirements set out in the procurement documentation, and the remaining partners shall be at the discretion of the procuring entity. </w:t>
      </w:r>
    </w:p>
    <w:p w14:paraId="36485E57"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The experience of the members of the simple partnership, the financial and technical capabilities of each of the partners of the simple partnership shall be summed up and must comply with 100 percent of the established requirements in the procurement documentation. In case of non-compliance with these requirements, the proposal of the supplier of a simple partnership is rejected. </w:t>
      </w:r>
    </w:p>
    <w:p w14:paraId="115811D7"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it must include an agreement concluded between the partners in accordance with the Civil Code of the Kyrgyz Republic. </w:t>
      </w:r>
    </w:p>
    <w:p w14:paraId="7AB11D99"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one of the partners must be the leader, authorized to bear obligations, and receive instructions on behalf of and on behalf of any partner and all partners, which is confirmed by the relevant simple partnership agreement. </w:t>
      </w:r>
    </w:p>
    <w:p w14:paraId="77C97522"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a proposal from a simple partnership (consortium) is submitted and must be signed by the leading partner if there is a power of attorney for signing from the other members of the simple partnership (consortium) or must be signed by all members of the simple partnership (consortium). </w:t>
      </w:r>
    </w:p>
    <w:p w14:paraId="069F919E" w14:textId="77777777" w:rsidR="003F3A02" w:rsidRPr="00797575" w:rsidRDefault="003F3A02" w:rsidP="003F3A02">
      <w:pPr>
        <w:pStyle w:val="a7"/>
        <w:numPr>
          <w:ilvl w:val="1"/>
          <w:numId w:val="6"/>
        </w:numPr>
        <w:tabs>
          <w:tab w:val="left" w:pos="720"/>
        </w:tabs>
        <w:spacing w:after="0"/>
        <w:ind w:left="630" w:hanging="540"/>
        <w:rPr>
          <w:rFonts w:ascii="Times New Roman" w:hAnsi="Times New Roman" w:cs="Times New Roman"/>
        </w:rPr>
      </w:pPr>
      <w:r>
        <w:rPr>
          <w:rFonts w:ascii="Times New Roman" w:hAnsi="Times New Roman" w:cs="Times New Roman"/>
        </w:rPr>
        <w:t>a proposal</w:t>
      </w:r>
      <w:r w:rsidRPr="0016353C">
        <w:rPr>
          <w:rFonts w:ascii="Times New Roman" w:hAnsi="Times New Roman" w:cs="Times New Roman"/>
        </w:rPr>
        <w:t xml:space="preserve"> is submitted in the system from the personal account of the leading partner, determined by the agreement of a simple partnership. </w:t>
      </w:r>
    </w:p>
    <w:p w14:paraId="32A1FC0B" w14:textId="77777777" w:rsidR="003F3A02" w:rsidRPr="00797575" w:rsidRDefault="003F3A02" w:rsidP="003F3A02">
      <w:pPr>
        <w:spacing w:after="0"/>
        <w:rPr>
          <w:rFonts w:ascii="Times New Roman" w:hAnsi="Times New Roman" w:cs="Times New Roman"/>
          <w:b/>
          <w:bCs/>
        </w:rPr>
      </w:pPr>
    </w:p>
    <w:p w14:paraId="0B4EFAD4"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Eligibility Requirements </w:t>
      </w:r>
    </w:p>
    <w:p w14:paraId="6FF95FC5" w14:textId="77777777" w:rsidR="003F3A02" w:rsidRPr="00797575" w:rsidRDefault="003F3A02" w:rsidP="003F3A02">
      <w:pPr>
        <w:pStyle w:val="a7"/>
        <w:numPr>
          <w:ilvl w:val="0"/>
          <w:numId w:val="8"/>
        </w:numPr>
        <w:spacing w:after="0"/>
        <w:rPr>
          <w:rFonts w:ascii="Times New Roman" w:hAnsi="Times New Roman" w:cs="Times New Roman"/>
        </w:rPr>
      </w:pPr>
      <w:r w:rsidRPr="0016353C">
        <w:rPr>
          <w:rFonts w:ascii="Times New Roman" w:hAnsi="Times New Roman" w:cs="Times New Roman"/>
        </w:rPr>
        <w:t xml:space="preserve">Suppliers shall provide information on compliance with the qualification requirements established by the procuring entity in the procurement documentation, and attach (if required) relevant confirmations/evidence, documents (in copies), such as: </w:t>
      </w:r>
    </w:p>
    <w:p w14:paraId="4CDBF0B7" w14:textId="77777777" w:rsidR="003F3A02" w:rsidRPr="00797575" w:rsidRDefault="003F3A02" w:rsidP="003F3A02">
      <w:pPr>
        <w:pStyle w:val="a7"/>
        <w:numPr>
          <w:ilvl w:val="1"/>
          <w:numId w:val="8"/>
        </w:numPr>
        <w:spacing w:after="0"/>
        <w:rPr>
          <w:rFonts w:ascii="Times New Roman" w:hAnsi="Times New Roman" w:cs="Times New Roman"/>
        </w:rPr>
      </w:pPr>
      <w:r w:rsidRPr="0016353C">
        <w:rPr>
          <w:rFonts w:ascii="Times New Roman" w:hAnsi="Times New Roman" w:cs="Times New Roman"/>
        </w:rPr>
        <w:t xml:space="preserve">acts of acceptance of goods, work performed/services rendered under the relevant contracts in proportion to the amount of the participating lots (in case of submission of a proposal for several lots, copies of such acts shall be provided in proportion to the amount of all lots) to confirm similar experience in the execution of contracts on the subject of procurement for the amount of the lot or purchase (if the purchase is carried out for one lot) with an indication of the period, in accordance with the procurement documentation; </w:t>
      </w:r>
    </w:p>
    <w:p w14:paraId="2CAE88E7" w14:textId="77777777" w:rsidR="003F3A02" w:rsidRPr="00797575" w:rsidRDefault="003F3A02" w:rsidP="003F3A02">
      <w:pPr>
        <w:pStyle w:val="a7"/>
        <w:numPr>
          <w:ilvl w:val="1"/>
          <w:numId w:val="8"/>
        </w:numPr>
        <w:spacing w:after="0"/>
        <w:rPr>
          <w:rFonts w:ascii="Times New Roman" w:hAnsi="Times New Roman" w:cs="Times New Roman"/>
        </w:rPr>
      </w:pPr>
      <w:r w:rsidRPr="0016353C">
        <w:rPr>
          <w:rFonts w:ascii="Times New Roman" w:hAnsi="Times New Roman" w:cs="Times New Roman"/>
        </w:rPr>
        <w:t xml:space="preserve">cash flow statements, profit and loss statements, balance sheet or Single Tax Return, or bank statement (original) confirming the financial solvency of the supplier. </w:t>
      </w:r>
    </w:p>
    <w:p w14:paraId="3EC6D963" w14:textId="77777777" w:rsidR="003F3A02" w:rsidRPr="00797575" w:rsidRDefault="003F3A02" w:rsidP="003F3A02">
      <w:pPr>
        <w:pStyle w:val="a7"/>
        <w:numPr>
          <w:ilvl w:val="1"/>
          <w:numId w:val="8"/>
        </w:numPr>
        <w:spacing w:after="0"/>
        <w:rPr>
          <w:rFonts w:ascii="Times New Roman" w:hAnsi="Times New Roman" w:cs="Times New Roman"/>
        </w:rPr>
      </w:pPr>
      <w:r w:rsidRPr="0016353C">
        <w:rPr>
          <w:rFonts w:ascii="Times New Roman" w:hAnsi="Times New Roman" w:cs="Times New Roman"/>
        </w:rPr>
        <w:t xml:space="preserve">licenses/permits (if the activity is licensed, for participants who are not residents of the Kyrgyz Republic - the availability of a license of the country of origin, in case of mutual recognition of the license by the parties </w:t>
      </w:r>
      <w:proofErr w:type="gramStart"/>
      <w:r w:rsidRPr="0016353C">
        <w:rPr>
          <w:rFonts w:ascii="Times New Roman" w:hAnsi="Times New Roman" w:cs="Times New Roman"/>
        </w:rPr>
        <w:t>on the basis of</w:t>
      </w:r>
      <w:proofErr w:type="gramEnd"/>
      <w:r w:rsidRPr="0016353C">
        <w:rPr>
          <w:rFonts w:ascii="Times New Roman" w:hAnsi="Times New Roman" w:cs="Times New Roman"/>
        </w:rPr>
        <w:t xml:space="preserve"> an international treaty to which the Kyrgyz Republic is a party) with </w:t>
      </w:r>
      <w:proofErr w:type="gramStart"/>
      <w:r w:rsidRPr="0016353C">
        <w:rPr>
          <w:rFonts w:ascii="Times New Roman" w:hAnsi="Times New Roman" w:cs="Times New Roman"/>
        </w:rPr>
        <w:t>annexes;</w:t>
      </w:r>
      <w:proofErr w:type="gramEnd"/>
      <w:r w:rsidRPr="0016353C">
        <w:rPr>
          <w:rFonts w:ascii="Times New Roman" w:hAnsi="Times New Roman" w:cs="Times New Roman"/>
        </w:rPr>
        <w:t xml:space="preserve"> </w:t>
      </w:r>
    </w:p>
    <w:p w14:paraId="6D8E9223" w14:textId="77777777" w:rsidR="003F3A02" w:rsidRPr="00797575" w:rsidRDefault="003F3A02" w:rsidP="003F3A02">
      <w:pPr>
        <w:pStyle w:val="a7"/>
        <w:numPr>
          <w:ilvl w:val="1"/>
          <w:numId w:val="8"/>
        </w:numPr>
        <w:spacing w:after="0"/>
        <w:rPr>
          <w:rFonts w:ascii="Times New Roman" w:hAnsi="Times New Roman" w:cs="Times New Roman"/>
        </w:rPr>
      </w:pPr>
      <w:r w:rsidRPr="0016353C">
        <w:rPr>
          <w:rFonts w:ascii="Times New Roman" w:hAnsi="Times New Roman" w:cs="Times New Roman"/>
        </w:rPr>
        <w:t xml:space="preserve">lease agreements, use agreements, technical passports for vehicles, invoices for equipment evidencing the availability of material and technical base for the execution of the contract. </w:t>
      </w:r>
    </w:p>
    <w:p w14:paraId="11894D7E" w14:textId="77777777" w:rsidR="003F3A02" w:rsidRPr="00797575" w:rsidRDefault="003F3A02" w:rsidP="003F3A02">
      <w:pPr>
        <w:pStyle w:val="a7"/>
        <w:numPr>
          <w:ilvl w:val="1"/>
          <w:numId w:val="8"/>
        </w:numPr>
        <w:spacing w:after="0"/>
        <w:rPr>
          <w:rFonts w:ascii="Times New Roman" w:hAnsi="Times New Roman" w:cs="Times New Roman"/>
        </w:rPr>
      </w:pPr>
      <w:r w:rsidRPr="0016353C">
        <w:rPr>
          <w:rFonts w:ascii="Times New Roman" w:hAnsi="Times New Roman" w:cs="Times New Roman"/>
        </w:rPr>
        <w:t xml:space="preserve">employment record books, contracts, permits, certificates, diplomas, certificates, and other documents that confirm the qualifications of employees with the necessary knowledge and experience. </w:t>
      </w:r>
    </w:p>
    <w:p w14:paraId="5B6E8927" w14:textId="77777777" w:rsidR="003F3A02" w:rsidRPr="00797575" w:rsidRDefault="003F3A02" w:rsidP="003F3A02">
      <w:pPr>
        <w:pStyle w:val="a7"/>
        <w:numPr>
          <w:ilvl w:val="0"/>
          <w:numId w:val="8"/>
        </w:numPr>
        <w:spacing w:after="0"/>
        <w:rPr>
          <w:rFonts w:ascii="Times New Roman" w:hAnsi="Times New Roman" w:cs="Times New Roman"/>
        </w:rPr>
      </w:pPr>
      <w:r w:rsidRPr="0016353C">
        <w:rPr>
          <w:rFonts w:ascii="Times New Roman" w:hAnsi="Times New Roman" w:cs="Times New Roman"/>
        </w:rPr>
        <w:lastRenderedPageBreak/>
        <w:t xml:space="preserve">The necessary qualification and other requirements for a particular purchase shall be filled in by the Customer directly in the System. </w:t>
      </w:r>
    </w:p>
    <w:p w14:paraId="3A9087B7" w14:textId="77777777" w:rsidR="003F3A02" w:rsidRPr="00797575" w:rsidRDefault="003F3A02" w:rsidP="003F3A02">
      <w:pPr>
        <w:spacing w:after="0"/>
        <w:rPr>
          <w:rFonts w:ascii="Times New Roman" w:hAnsi="Times New Roman" w:cs="Times New Roman"/>
          <w:b/>
          <w:bCs/>
        </w:rPr>
      </w:pPr>
    </w:p>
    <w:p w14:paraId="55B35C8F"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Technical Specification </w:t>
      </w:r>
    </w:p>
    <w:p w14:paraId="5CF2B510"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goods supplied must be new, not previously used, manufactured according to the latest or currently in production modifications, be current and include all the latest improvements in construction and materials, reflect all recent achievements in the field of design and development of materials, unless otherwise provided by the competition. </w:t>
      </w:r>
    </w:p>
    <w:p w14:paraId="6618FBDB"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Precise and clear specifications are a prerequisite for the bidders to be able to respond realistically and competitively to the Customer's requirements without reservations or conditions. </w:t>
      </w:r>
    </w:p>
    <w:p w14:paraId="6782E09D"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In the context of competitive procedures, specifications should be drafted in such a way as to ensure the widest possible competition, while at the same time clearly reflecting the required standards of materials, equipment, other supplies, and quality of work to be provided. Only then will the objectives of economy, efficiency and equality in procurement be achieved, the compliance of bids with the requirements will be ensured and the subsequent task of evaluating bids will be facilitated. </w:t>
      </w:r>
    </w:p>
    <w:p w14:paraId="22EFE1FF"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quality and safety of the goods supplied, and the consumables used in the performance of work and services must comply with the relevant technical regulations and be confirmed by certificates of conformity. </w:t>
      </w:r>
    </w:p>
    <w:p w14:paraId="67BDA9E2"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Goods or materials used in works or services must meet the standards specified in the technical requirements and comply with the technical regulations of the Kyrgyz Republic, or international norms and standards that provide an equivalent or higher level of quality. </w:t>
      </w:r>
    </w:p>
    <w:p w14:paraId="722B306B"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If the subject of the purchase is included in the List of Goods Subject to Mandatory Certification, it is necessary to provide the relevant confirmation of certification. </w:t>
      </w:r>
    </w:p>
    <w:p w14:paraId="7DED7998"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Design documents, drawings, calculations, reports, technical engineering documents, photographic materials, surveys, diagrams, and other similar documents must be clear and readable. </w:t>
      </w:r>
    </w:p>
    <w:p w14:paraId="1A5EBED2"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Drawings (if necessary) are usually bound in a separate volume, which is often larger than other volumes of the contract. The size is determined by the scale of the drawings, which must not be reduced to such an extent that the parts become illegible. </w:t>
      </w:r>
    </w:p>
    <w:p w14:paraId="3FCB48D8"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Construction drawings, even if they are not fully developed, should contain sufficient detail to enable the procuring entity to understand the type and complexity of the work and to determine the price from the quantity bill or schedule. </w:t>
      </w:r>
    </w:p>
    <w:p w14:paraId="74B6560A"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supplier has the right to offer alternative technical solutions for certain parts of the work. Alternative solutions are appropriate in cases where obvious (and potentially less expensive) alternative solutions are possible in comparison with the technical solutions specified in the tender documentation for certain elements of work, </w:t>
      </w:r>
      <w:proofErr w:type="gramStart"/>
      <w:r w:rsidRPr="0016353C">
        <w:rPr>
          <w:rFonts w:ascii="Times New Roman" w:hAnsi="Times New Roman" w:cs="Times New Roman"/>
        </w:rPr>
        <w:t>taking into account</w:t>
      </w:r>
      <w:proofErr w:type="gramEnd"/>
      <w:r w:rsidRPr="0016353C">
        <w:rPr>
          <w:rFonts w:ascii="Times New Roman" w:hAnsi="Times New Roman" w:cs="Times New Roman"/>
        </w:rPr>
        <w:t xml:space="preserve"> the comparative specialized advantages of potential Bidders. </w:t>
      </w:r>
    </w:p>
    <w:p w14:paraId="120FBA18" w14:textId="77777777" w:rsidR="003F3A02" w:rsidRPr="00797575" w:rsidRDefault="003F3A02" w:rsidP="003F3A02">
      <w:pPr>
        <w:pStyle w:val="a7"/>
        <w:numPr>
          <w:ilvl w:val="0"/>
          <w:numId w:val="7"/>
        </w:numPr>
        <w:spacing w:after="0"/>
        <w:jc w:val="both"/>
        <w:rPr>
          <w:rFonts w:ascii="Times New Roman" w:hAnsi="Times New Roman" w:cs="Times New Roman"/>
        </w:rPr>
      </w:pPr>
      <w:r w:rsidRPr="0016353C">
        <w:rPr>
          <w:rFonts w:ascii="Times New Roman" w:hAnsi="Times New Roman" w:cs="Times New Roman"/>
        </w:rPr>
        <w:t xml:space="preserve">Such alternative solutions by the supplier should be accompanied by all the information necessary for a full assessment by the procuring entity, including drawings, design calculations, technical specifications, price breakdowns, proposed construction methodology and other relevant details. </w:t>
      </w:r>
    </w:p>
    <w:p w14:paraId="0062D2F6" w14:textId="77777777" w:rsidR="003F3A02" w:rsidRPr="00797575" w:rsidRDefault="003F3A02" w:rsidP="003F3A02">
      <w:pPr>
        <w:spacing w:after="0"/>
        <w:rPr>
          <w:rFonts w:ascii="Times New Roman" w:hAnsi="Times New Roman" w:cs="Times New Roman"/>
          <w:b/>
          <w:bCs/>
        </w:rPr>
      </w:pPr>
    </w:p>
    <w:p w14:paraId="6A43C93C"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lastRenderedPageBreak/>
        <w:t xml:space="preserve">Declaration of Good Faith and Anti-Corruption Clause </w:t>
      </w:r>
    </w:p>
    <w:p w14:paraId="458BE089"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rPr>
        <w:t>Bidders must adhere to ambitious standards of ethics during procurement and contract execution procedures, and they must not be involved in misconduct such as collusion, bribery, fraud, and corruption.</w:t>
      </w:r>
    </w:p>
    <w:p w14:paraId="11E87D1B" w14:textId="77777777" w:rsidR="003F3A02" w:rsidRPr="003F3A02" w:rsidRDefault="003F3A02" w:rsidP="0016353C">
      <w:pPr>
        <w:spacing w:after="0"/>
        <w:rPr>
          <w:rFonts w:ascii="Times New Roman" w:hAnsi="Times New Roman" w:cs="Times New Roman"/>
        </w:rPr>
      </w:pPr>
    </w:p>
    <w:sectPr w:rsidR="003F3A02" w:rsidRPr="003F3A02" w:rsidSect="00E753B2">
      <w:headerReference w:type="default" r:id="rId7"/>
      <w:pgSz w:w="12240" w:h="15840"/>
      <w:pgMar w:top="2184" w:right="85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C286" w14:textId="77777777" w:rsidR="00376FC6" w:rsidRDefault="00376FC6" w:rsidP="00E753B2">
      <w:pPr>
        <w:spacing w:after="0" w:line="240" w:lineRule="auto"/>
      </w:pPr>
      <w:r>
        <w:separator/>
      </w:r>
    </w:p>
  </w:endnote>
  <w:endnote w:type="continuationSeparator" w:id="0">
    <w:p w14:paraId="4DECA3EC" w14:textId="77777777" w:rsidR="00376FC6" w:rsidRDefault="00376FC6" w:rsidP="00E7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3AF8" w14:textId="77777777" w:rsidR="00376FC6" w:rsidRDefault="00376FC6" w:rsidP="00E753B2">
      <w:pPr>
        <w:spacing w:after="0" w:line="240" w:lineRule="auto"/>
      </w:pPr>
      <w:r>
        <w:separator/>
      </w:r>
    </w:p>
  </w:footnote>
  <w:footnote w:type="continuationSeparator" w:id="0">
    <w:p w14:paraId="17D9AE4A" w14:textId="77777777" w:rsidR="00376FC6" w:rsidRDefault="00376FC6" w:rsidP="00E7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4F0F" w14:textId="03FE5179" w:rsidR="00E753B2" w:rsidRDefault="00E753B2">
    <w:pPr>
      <w:pStyle w:val="ac"/>
    </w:pPr>
    <w:r>
      <w:rPr>
        <w:noProof/>
      </w:rPr>
      <w:drawing>
        <wp:anchor distT="0" distB="0" distL="114300" distR="114300" simplePos="0" relativeHeight="251659264" behindDoc="1" locked="0" layoutInCell="1" allowOverlap="1" wp14:anchorId="4E884342" wp14:editId="5C890C92">
          <wp:simplePos x="0" y="0"/>
          <wp:positionH relativeFrom="margin">
            <wp:posOffset>0</wp:posOffset>
          </wp:positionH>
          <wp:positionV relativeFrom="paragraph">
            <wp:posOffset>0</wp:posOffset>
          </wp:positionV>
          <wp:extent cx="914400" cy="914400"/>
          <wp:effectExtent l="0" t="0" r="0" b="0"/>
          <wp:wrapNone/>
          <wp:docPr id="80807928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90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16353C"/>
    <w:rsid w:val="00376FC6"/>
    <w:rsid w:val="003A7B57"/>
    <w:rsid w:val="003D4103"/>
    <w:rsid w:val="003F3A02"/>
    <w:rsid w:val="004B19E3"/>
    <w:rsid w:val="00544EEE"/>
    <w:rsid w:val="005F4FE8"/>
    <w:rsid w:val="006B400A"/>
    <w:rsid w:val="008220E0"/>
    <w:rsid w:val="009E2ADF"/>
    <w:rsid w:val="00CA79E0"/>
    <w:rsid w:val="00CD0015"/>
    <w:rsid w:val="00CE0311"/>
    <w:rsid w:val="00D54102"/>
    <w:rsid w:val="00E06F9B"/>
    <w:rsid w:val="00E753B2"/>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5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35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35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35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35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353C"/>
    <w:rPr>
      <w:rFonts w:eastAsiaTheme="majorEastAsia" w:cstheme="majorBidi"/>
      <w:color w:val="595959" w:themeColor="text1" w:themeTint="A6"/>
    </w:rPr>
  </w:style>
  <w:style w:type="character" w:customStyle="1" w:styleId="80">
    <w:name w:val="Заголовок 8 Знак"/>
    <w:basedOn w:val="a0"/>
    <w:link w:val="8"/>
    <w:uiPriority w:val="9"/>
    <w:semiHidden/>
    <w:rsid w:val="001635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353C"/>
    <w:rPr>
      <w:rFonts w:eastAsiaTheme="majorEastAsia" w:cstheme="majorBidi"/>
      <w:color w:val="272727" w:themeColor="text1" w:themeTint="D8"/>
    </w:rPr>
  </w:style>
  <w:style w:type="paragraph" w:styleId="a3">
    <w:name w:val="Title"/>
    <w:basedOn w:val="a"/>
    <w:next w:val="a"/>
    <w:link w:val="a4"/>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35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353C"/>
    <w:pPr>
      <w:spacing w:before="160"/>
      <w:jc w:val="center"/>
    </w:pPr>
    <w:rPr>
      <w:i/>
      <w:iCs/>
      <w:color w:val="404040" w:themeColor="text1" w:themeTint="BF"/>
    </w:rPr>
  </w:style>
  <w:style w:type="character" w:customStyle="1" w:styleId="22">
    <w:name w:val="Цитата 2 Знак"/>
    <w:basedOn w:val="a0"/>
    <w:link w:val="21"/>
    <w:uiPriority w:val="29"/>
    <w:rsid w:val="0016353C"/>
    <w:rPr>
      <w:i/>
      <w:iCs/>
      <w:color w:val="404040" w:themeColor="text1" w:themeTint="BF"/>
    </w:rPr>
  </w:style>
  <w:style w:type="paragraph" w:styleId="a7">
    <w:name w:val="List Paragraph"/>
    <w:basedOn w:val="a"/>
    <w:uiPriority w:val="34"/>
    <w:qFormat/>
    <w:rsid w:val="0016353C"/>
    <w:pPr>
      <w:ind w:left="720"/>
      <w:contextualSpacing/>
    </w:pPr>
  </w:style>
  <w:style w:type="character" w:styleId="a8">
    <w:name w:val="Intense Emphasis"/>
    <w:basedOn w:val="a0"/>
    <w:uiPriority w:val="21"/>
    <w:qFormat/>
    <w:rsid w:val="0016353C"/>
    <w:rPr>
      <w:i/>
      <w:iCs/>
      <w:color w:val="0F4761" w:themeColor="accent1" w:themeShade="BF"/>
    </w:rPr>
  </w:style>
  <w:style w:type="paragraph" w:styleId="a9">
    <w:name w:val="Intense Quote"/>
    <w:basedOn w:val="a"/>
    <w:next w:val="a"/>
    <w:link w:val="aa"/>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6353C"/>
    <w:rPr>
      <w:i/>
      <w:iCs/>
      <w:color w:val="0F4761" w:themeColor="accent1" w:themeShade="BF"/>
    </w:rPr>
  </w:style>
  <w:style w:type="character" w:styleId="ab">
    <w:name w:val="Intense Reference"/>
    <w:basedOn w:val="a0"/>
    <w:uiPriority w:val="32"/>
    <w:qFormat/>
    <w:rsid w:val="0016353C"/>
    <w:rPr>
      <w:b/>
      <w:bCs/>
      <w:smallCaps/>
      <w:color w:val="0F4761" w:themeColor="accent1" w:themeShade="BF"/>
      <w:spacing w:val="5"/>
    </w:rPr>
  </w:style>
  <w:style w:type="paragraph" w:styleId="ac">
    <w:name w:val="header"/>
    <w:basedOn w:val="a"/>
    <w:link w:val="ad"/>
    <w:uiPriority w:val="99"/>
    <w:unhideWhenUsed/>
    <w:rsid w:val="00E753B2"/>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E753B2"/>
  </w:style>
  <w:style w:type="paragraph" w:styleId="ae">
    <w:name w:val="footer"/>
    <w:basedOn w:val="a"/>
    <w:link w:val="af"/>
    <w:uiPriority w:val="99"/>
    <w:unhideWhenUsed/>
    <w:rsid w:val="00E753B2"/>
    <w:pPr>
      <w:tabs>
        <w:tab w:val="center" w:pos="4844"/>
        <w:tab w:val="right" w:pos="9689"/>
      </w:tabs>
      <w:spacing w:after="0" w:line="240" w:lineRule="auto"/>
    </w:pPr>
  </w:style>
  <w:style w:type="character" w:customStyle="1" w:styleId="af">
    <w:name w:val="Нижний колонтитул Знак"/>
    <w:basedOn w:val="a0"/>
    <w:link w:val="ae"/>
    <w:uiPriority w:val="99"/>
    <w:rsid w:val="00E7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3160</Words>
  <Characters>18018</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Gulgiza Masimova</cp:lastModifiedBy>
  <cp:revision>5</cp:revision>
  <dcterms:created xsi:type="dcterms:W3CDTF">2025-04-25T08:59:00Z</dcterms:created>
  <dcterms:modified xsi:type="dcterms:W3CDTF">2025-09-11T08:48:00Z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