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F8D6" w14:textId="77777777" w:rsidR="002E11EA" w:rsidRDefault="002E11EA" w:rsidP="00F46357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</w:p>
    <w:p w14:paraId="63EE8A7F" w14:textId="1A246049" w:rsidR="00F46357" w:rsidRPr="00133D8F" w:rsidRDefault="00F46357" w:rsidP="00F46357">
      <w:pPr>
        <w:pStyle w:val="26"/>
        <w:keepNext/>
        <w:keepLines/>
        <w:shd w:val="clear" w:color="auto" w:fill="auto"/>
        <w:spacing w:after="0" w:line="220" w:lineRule="exact"/>
      </w:pPr>
      <w:r>
        <w:t>Appendix #</w:t>
      </w:r>
      <w:r w:rsidR="007E5619" w:rsidRPr="0036452A">
        <w:t>2</w:t>
      </w:r>
      <w:r>
        <w:t xml:space="preserve"> to the Invitation</w:t>
      </w:r>
    </w:p>
    <w:p w14:paraId="51442551" w14:textId="77777777" w:rsidR="00F46357" w:rsidRPr="00133D8F" w:rsidRDefault="00F46357" w:rsidP="00F46357">
      <w:pPr>
        <w:pStyle w:val="26"/>
        <w:keepNext/>
        <w:keepLines/>
        <w:shd w:val="clear" w:color="auto" w:fill="auto"/>
        <w:spacing w:after="0" w:line="220" w:lineRule="exact"/>
        <w:jc w:val="center"/>
      </w:pPr>
    </w:p>
    <w:p w14:paraId="3E5885F1" w14:textId="77777777" w:rsidR="00F46357" w:rsidRPr="00133D8F" w:rsidRDefault="00F46357" w:rsidP="00F46357">
      <w:pPr>
        <w:pStyle w:val="26"/>
        <w:keepNext/>
        <w:keepLines/>
        <w:shd w:val="clear" w:color="auto" w:fill="auto"/>
        <w:spacing w:after="0" w:line="220" w:lineRule="exact"/>
        <w:jc w:val="center"/>
      </w:pPr>
      <w:r w:rsidRPr="002B62F9">
        <w:t>DECLARATION GUARANTEEING THE TENDER BID</w:t>
      </w:r>
    </w:p>
    <w:p w14:paraId="65174F82" w14:textId="77777777" w:rsidR="00F46357" w:rsidRPr="00133D8F" w:rsidRDefault="00F46357" w:rsidP="00F46357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</w:pPr>
      <w:r w:rsidRPr="002B62F9">
        <w:t>To whom:</w:t>
      </w:r>
      <w:r w:rsidRPr="002B62F9">
        <w:tab/>
      </w:r>
      <w:r>
        <w:tab/>
      </w:r>
    </w:p>
    <w:p w14:paraId="4A5209B7" w14:textId="77777777" w:rsidR="00F46357" w:rsidRPr="00133D8F" w:rsidRDefault="00F46357" w:rsidP="00F46357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</w:pPr>
      <w:r w:rsidRPr="002B62F9">
        <w:t>Name of the purchase</w:t>
      </w:r>
      <w:r w:rsidRPr="002B62F9">
        <w:tab/>
      </w:r>
    </w:p>
    <w:p w14:paraId="13ED88D2" w14:textId="77777777" w:rsidR="00F46357" w:rsidRPr="00133D8F" w:rsidRDefault="00F46357" w:rsidP="00F46357">
      <w:pPr>
        <w:pStyle w:val="24"/>
        <w:shd w:val="clear" w:color="auto" w:fill="auto"/>
        <w:spacing w:after="111" w:line="283" w:lineRule="exact"/>
        <w:jc w:val="both"/>
      </w:pPr>
      <w:r w:rsidRPr="002B62F9">
        <w:t>We understand that according to your terms and conditions, proposals must be supported by a Declaration guaranteeing a bid/proposal.</w:t>
      </w:r>
    </w:p>
    <w:p w14:paraId="1AA69065" w14:textId="77777777" w:rsidR="00F46357" w:rsidRPr="00133D8F" w:rsidRDefault="00F46357" w:rsidP="00F46357">
      <w:pPr>
        <w:pStyle w:val="24"/>
        <w:shd w:val="clear" w:color="auto" w:fill="auto"/>
        <w:spacing w:after="8" w:line="220" w:lineRule="exact"/>
        <w:jc w:val="both"/>
      </w:pPr>
      <w:r w:rsidRPr="002B62F9">
        <w:t>We agree that we will be automatically excluded from participating in procurement under</w:t>
      </w:r>
    </w:p>
    <w:p w14:paraId="02FE3DB3" w14:textId="77777777" w:rsidR="00F46357" w:rsidRPr="00133D8F" w:rsidRDefault="00F46357" w:rsidP="00F46357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</w:pPr>
      <w:r w:rsidRPr="00133D8F">
        <w:rPr>
          <w:rStyle w:val="111"/>
          <w:lang w:val="en-US"/>
        </w:rPr>
        <w:t>any contract for a period of one year commencing.</w:t>
      </w:r>
    </w:p>
    <w:p w14:paraId="6E91A8AF" w14:textId="77777777" w:rsidR="00F46357" w:rsidRPr="00133D8F" w:rsidRDefault="00F46357" w:rsidP="00F46357">
      <w:pPr>
        <w:pStyle w:val="24"/>
        <w:shd w:val="clear" w:color="auto" w:fill="auto"/>
        <w:spacing w:after="68" w:line="278" w:lineRule="exact"/>
        <w:jc w:val="both"/>
      </w:pPr>
      <w:r w:rsidRPr="002B62F9">
        <w:t>from the date of receipt of the notification from the procuring entity if we breach our obligations under the terms of the procurement documents, as we</w:t>
      </w:r>
    </w:p>
    <w:p w14:paraId="6501254E" w14:textId="77777777" w:rsidR="00F46357" w:rsidRPr="00133D8F" w:rsidRDefault="00F46357" w:rsidP="00F46357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</w:pPr>
      <w:r w:rsidRPr="002B62F9">
        <w:t xml:space="preserve">have withdrawn their </w:t>
      </w:r>
      <w:r>
        <w:t>Proposal</w:t>
      </w:r>
      <w:r w:rsidRPr="002B62F9">
        <w:t xml:space="preserve"> within the period of validity specified by the Supplier in the </w:t>
      </w:r>
      <w:r>
        <w:t>Proposal</w:t>
      </w:r>
      <w:r w:rsidRPr="002B62F9">
        <w:t>; or</w:t>
      </w:r>
    </w:p>
    <w:p w14:paraId="7801091C" w14:textId="77777777" w:rsidR="00F46357" w:rsidRPr="00133D8F" w:rsidRDefault="00F46357" w:rsidP="00F46357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</w:pPr>
      <w:r w:rsidRPr="002B62F9">
        <w:t>have not accepted the correction of arithmetic errors in accordance with the Supplier Guidelines; or</w:t>
      </w:r>
    </w:p>
    <w:p w14:paraId="5AC766F7" w14:textId="77777777" w:rsidR="00F46357" w:rsidRPr="00133D8F" w:rsidRDefault="00F46357" w:rsidP="00F46357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</w:pPr>
      <w:r w:rsidRPr="002B62F9">
        <w:t>After being notified by the procuring entity of the award of the contract:</w:t>
      </w:r>
    </w:p>
    <w:p w14:paraId="2EC5EBDF" w14:textId="77777777" w:rsidR="00F46357" w:rsidRPr="00133D8F" w:rsidRDefault="00F46357" w:rsidP="00F46357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 w:rsidRPr="002B62F9">
        <w:t>could not or refuse to sign the contract.</w:t>
      </w:r>
    </w:p>
    <w:p w14:paraId="79F69131" w14:textId="77777777" w:rsidR="00F46357" w:rsidRPr="00133D8F" w:rsidRDefault="00F46357" w:rsidP="00F46357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</w:pPr>
      <w:r w:rsidRPr="002B62F9">
        <w:t>failed or refused to provide a guarantee for the performance of the contract, in accordance with the procurement documentation.</w:t>
      </w:r>
    </w:p>
    <w:p w14:paraId="032CF413" w14:textId="77777777" w:rsidR="00F46357" w:rsidRPr="00133D8F" w:rsidRDefault="00F46357" w:rsidP="00F46357">
      <w:pPr>
        <w:pStyle w:val="24"/>
        <w:shd w:val="clear" w:color="auto" w:fill="auto"/>
        <w:spacing w:after="0" w:line="278" w:lineRule="exact"/>
        <w:jc w:val="both"/>
      </w:pPr>
      <w:r w:rsidRPr="002B62F9">
        <w:t xml:space="preserve">It is hereby confirmed that in the event of non-compliance with any of these obligations, the procuring entity shall have the right to initiate the inclusion of us in the </w:t>
      </w:r>
      <w:r>
        <w:t>“</w:t>
      </w:r>
      <w:r w:rsidRPr="002B62F9">
        <w:t>Database of Unscrupulous Suppliers</w:t>
      </w:r>
      <w:r>
        <w:t>.”</w:t>
      </w:r>
    </w:p>
    <w:p w14:paraId="6E9C2656" w14:textId="77777777" w:rsidR="00F46357" w:rsidRPr="00133D8F" w:rsidRDefault="00F46357" w:rsidP="00F46357">
      <w:pPr>
        <w:pStyle w:val="24"/>
        <w:shd w:val="clear" w:color="auto" w:fill="auto"/>
        <w:spacing w:after="599" w:line="274" w:lineRule="exact"/>
      </w:pPr>
      <w:r w:rsidRPr="002B62F9">
        <w:t xml:space="preserve">This declaration will expire if we are not a winning participant after we have received your notification of the name of the winning participant or 28 days after the expiry of our </w:t>
      </w:r>
      <w:r>
        <w:t xml:space="preserve">Proposal.                                                                                  </w:t>
      </w:r>
    </w:p>
    <w:p w14:paraId="77779C3D" w14:textId="77777777" w:rsidR="00F46357" w:rsidRPr="00F141B6" w:rsidRDefault="00F46357" w:rsidP="00F46357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3360" behindDoc="1" locked="0" layoutInCell="1" allowOverlap="1" wp14:anchorId="7AF9DDAF" wp14:editId="5EBA6ADF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134435206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0145" w14:textId="77777777" w:rsidR="00F46357" w:rsidRDefault="00F46357" w:rsidP="00F46357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>Supplier</w:t>
                            </w:r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69EA7DF2" w14:textId="77777777" w:rsidR="00F46357" w:rsidRDefault="00F46357" w:rsidP="00F46357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9DDA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3120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4910145" w14:textId="77777777" w:rsidR="00F46357" w:rsidRDefault="00F46357" w:rsidP="00F46357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</w:rPr>
                        <w:t>Supplier</w:t>
                      </w:r>
                      <w:r>
                        <w:rPr>
                          <w:rStyle w:val="9Exact"/>
                        </w:rPr>
                        <w:tab/>
                      </w:r>
                    </w:p>
                    <w:p w14:paraId="69EA7DF2" w14:textId="77777777" w:rsidR="00F46357" w:rsidRDefault="00F46357" w:rsidP="00F46357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(signature)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F46357">
        <w:rPr>
          <w:lang w:val="ru-RU"/>
        </w:rPr>
        <w:t>/</w:t>
      </w:r>
      <w:r w:rsidRPr="00F46357">
        <w:rPr>
          <w:lang w:val="ru-RU"/>
        </w:rPr>
        <w:tab/>
        <w:t>/</w:t>
      </w:r>
    </w:p>
    <w:p w14:paraId="42B1CFC3" w14:textId="77777777" w:rsidR="00F46357" w:rsidRDefault="00F46357" w:rsidP="00F46357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r w:rsidRPr="00F46357">
        <w:rPr>
          <w:lang w:val="ru-RU"/>
        </w:rPr>
        <w:t>(</w:t>
      </w:r>
      <w:r w:rsidRPr="00F141B6">
        <w:t>Full</w:t>
      </w:r>
      <w:r w:rsidRPr="00F46357">
        <w:rPr>
          <w:lang w:val="ru-RU"/>
        </w:rPr>
        <w:t xml:space="preserve"> </w:t>
      </w:r>
      <w:r w:rsidRPr="00F141B6">
        <w:t>name</w:t>
      </w:r>
      <w:r w:rsidRPr="00F46357">
        <w:rPr>
          <w:lang w:val="ru-RU"/>
        </w:rPr>
        <w:t xml:space="preserve">, </w:t>
      </w:r>
      <w:r w:rsidRPr="00F141B6">
        <w:t>position</w:t>
      </w:r>
      <w:r w:rsidRPr="00F46357">
        <w:rPr>
          <w:lang w:val="ru-RU"/>
        </w:rPr>
        <w:t xml:space="preserve">) </w:t>
      </w:r>
    </w:p>
    <w:p w14:paraId="3A7C5291" w14:textId="77777777" w:rsidR="00F46357" w:rsidRPr="00F141B6" w:rsidRDefault="00F46357" w:rsidP="00F46357">
      <w:pPr>
        <w:pStyle w:val="26"/>
        <w:keepNext/>
        <w:keepLines/>
        <w:shd w:val="clear" w:color="auto" w:fill="auto"/>
        <w:spacing w:after="250" w:line="220" w:lineRule="exact"/>
        <w:jc w:val="left"/>
        <w:rPr>
          <w:lang w:val="ru-RU"/>
        </w:rPr>
      </w:pPr>
      <w:r>
        <w:t>Seal</w:t>
      </w:r>
    </w:p>
    <w:p w14:paraId="4E785FA3" w14:textId="77777777" w:rsidR="00F46357" w:rsidRPr="001C65F3" w:rsidRDefault="00F46357" w:rsidP="00F46357">
      <w:pPr>
        <w:rPr>
          <w:rFonts w:ascii="Times New Roman" w:hAnsi="Times New Roman" w:cs="Times New Roman"/>
        </w:rPr>
      </w:pPr>
    </w:p>
    <w:p w14:paraId="4A22784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E2909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6254B87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E9B64B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5D69931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A4C53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FD8B09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00BBD6C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207EA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E2693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700EA0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979FFFB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№1 к Приглашению</w:t>
      </w:r>
    </w:p>
    <w:p w14:paraId="698EAAA0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27B1F183" w14:textId="406F9DC3" w:rsidR="00300BA3" w:rsidRPr="00300BA3" w:rsidRDefault="006A30BA" w:rsidP="00300BA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300BA3">
        <w:rPr>
          <w:rFonts w:ascii="Times New Roman" w:hAnsi="Times New Roman" w:cs="Times New Roman"/>
          <w:sz w:val="22"/>
          <w:szCs w:val="22"/>
        </w:rPr>
        <w:t>Название закупки</w:t>
      </w:r>
      <w:r w:rsidR="00300BA3" w:rsidRPr="00300BA3">
        <w:rPr>
          <w:rFonts w:ascii="Times New Roman" w:hAnsi="Times New Roman" w:cs="Times New Roman"/>
          <w:sz w:val="22"/>
          <w:szCs w:val="22"/>
        </w:rPr>
        <w:t>:</w:t>
      </w:r>
      <w:r w:rsidR="0077502E" w:rsidRPr="00300BA3">
        <w:rPr>
          <w:rFonts w:ascii="Times New Roman" w:hAnsi="Times New Roman" w:cs="Times New Roman"/>
          <w:sz w:val="22"/>
          <w:szCs w:val="22"/>
        </w:rPr>
        <w:t xml:space="preserve"> </w:t>
      </w:r>
      <w:r w:rsidR="00300BA3" w:rsidRPr="00300BA3">
        <w:rPr>
          <w:rFonts w:ascii="Times New Roman" w:hAnsi="Times New Roman" w:cs="Times New Roman"/>
          <w:sz w:val="22"/>
          <w:szCs w:val="22"/>
          <w:u w:val="single"/>
        </w:rPr>
        <w:t>трех шарошечное долото для бурения 200 мм скважин на открытых горных работах.</w:t>
      </w:r>
      <w:r w:rsidR="00300BA3" w:rsidRPr="00300BA3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</w:p>
    <w:p w14:paraId="60CF8055" w14:textId="708AFF5C" w:rsidR="006A30BA" w:rsidRPr="00300BA3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</w:p>
    <w:p w14:paraId="7798BAAE" w14:textId="77777777" w:rsidR="006A30BA" w:rsidRPr="002B62F9" w:rsidRDefault="006A30BA" w:rsidP="006A30BA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4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2B62F9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72AA93C6" w14:textId="77777777" w:rsidR="006A30BA" w:rsidRDefault="006A30BA" w:rsidP="006A30BA">
      <w:r>
        <w:t>печать</w:t>
      </w:r>
    </w:p>
    <w:p w14:paraId="67F01029" w14:textId="77777777" w:rsidR="006A30BA" w:rsidRPr="001C65F3" w:rsidRDefault="006A30BA" w:rsidP="002B62F9">
      <w:pPr>
        <w:rPr>
          <w:rFonts w:ascii="Times New Roman" w:hAnsi="Times New Roman" w:cs="Times New Roman"/>
        </w:rPr>
      </w:pPr>
    </w:p>
    <w:sectPr w:rsidR="006A30BA" w:rsidRPr="001C65F3" w:rsidSect="002E11EA">
      <w:headerReference w:type="default" r:id="rId7"/>
      <w:pgSz w:w="12240" w:h="15840"/>
      <w:pgMar w:top="153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D3645" w14:textId="77777777" w:rsidR="00740508" w:rsidRDefault="00740508" w:rsidP="00973F09">
      <w:r>
        <w:separator/>
      </w:r>
    </w:p>
  </w:endnote>
  <w:endnote w:type="continuationSeparator" w:id="0">
    <w:p w14:paraId="2A66CC66" w14:textId="77777777" w:rsidR="00740508" w:rsidRDefault="00740508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CC7A" w14:textId="77777777" w:rsidR="00740508" w:rsidRDefault="00740508" w:rsidP="00973F09">
      <w:r>
        <w:separator/>
      </w:r>
    </w:p>
  </w:footnote>
  <w:footnote w:type="continuationSeparator" w:id="0">
    <w:p w14:paraId="0B0CA806" w14:textId="77777777" w:rsidR="00740508" w:rsidRDefault="00740508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1198" w14:textId="2FC8C70F" w:rsidR="00973F09" w:rsidRDefault="002E11EA">
    <w:pPr>
      <w:pStyle w:val="a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894531" wp14:editId="6B0FAAA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59421118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384A42"/>
    <w:multiLevelType w:val="hybridMultilevel"/>
    <w:tmpl w:val="C0808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2"/>
  </w:num>
  <w:num w:numId="3" w16cid:durableId="91535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127A8E"/>
    <w:rsid w:val="0015520A"/>
    <w:rsid w:val="00176710"/>
    <w:rsid w:val="001C65F3"/>
    <w:rsid w:val="00257FC8"/>
    <w:rsid w:val="002B62F9"/>
    <w:rsid w:val="002C6C9B"/>
    <w:rsid w:val="002E11EA"/>
    <w:rsid w:val="002E4C62"/>
    <w:rsid w:val="00300BA3"/>
    <w:rsid w:val="0036452A"/>
    <w:rsid w:val="003D64C1"/>
    <w:rsid w:val="004A5374"/>
    <w:rsid w:val="00541F4A"/>
    <w:rsid w:val="005B706C"/>
    <w:rsid w:val="005D0B4F"/>
    <w:rsid w:val="005E5673"/>
    <w:rsid w:val="005F3314"/>
    <w:rsid w:val="00612EEF"/>
    <w:rsid w:val="00674172"/>
    <w:rsid w:val="006A30BA"/>
    <w:rsid w:val="006D2E7D"/>
    <w:rsid w:val="006E5A8F"/>
    <w:rsid w:val="00706CB0"/>
    <w:rsid w:val="00735237"/>
    <w:rsid w:val="00740508"/>
    <w:rsid w:val="0077502E"/>
    <w:rsid w:val="007E5619"/>
    <w:rsid w:val="00886959"/>
    <w:rsid w:val="008B3A20"/>
    <w:rsid w:val="00973F09"/>
    <w:rsid w:val="00A07241"/>
    <w:rsid w:val="00A07F78"/>
    <w:rsid w:val="00A102F5"/>
    <w:rsid w:val="00A47451"/>
    <w:rsid w:val="00B115D2"/>
    <w:rsid w:val="00B11860"/>
    <w:rsid w:val="00B74011"/>
    <w:rsid w:val="00BD1837"/>
    <w:rsid w:val="00D47676"/>
    <w:rsid w:val="00DA1EF0"/>
    <w:rsid w:val="00E037BE"/>
    <w:rsid w:val="00ED54A4"/>
    <w:rsid w:val="00F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aliases w:val="Elenco Normale,Elenco NormaleCxSpLast,Абзац маркированнный,Содержание. 2 уровень,Bullet List,FooterText,numbered,Paragraphe de liste1,lp1,Абзац,Numbered Steps,List-Bullets-Solid (No Space),А        б        з        а        ц"/>
    <w:basedOn w:val="a"/>
    <w:link w:val="a8"/>
    <w:uiPriority w:val="34"/>
    <w:qFormat/>
    <w:rsid w:val="002B62F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B62F9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d">
    <w:name w:val="header"/>
    <w:basedOn w:val="a"/>
    <w:link w:val="ae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f">
    <w:name w:val="footer"/>
    <w:basedOn w:val="a"/>
    <w:link w:val="af0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1">
    <w:name w:val="Placeholder Text"/>
    <w:basedOn w:val="a0"/>
    <w:uiPriority w:val="99"/>
    <w:semiHidden/>
    <w:rsid w:val="005D0B4F"/>
    <w:rPr>
      <w:color w:val="666666"/>
    </w:rPr>
  </w:style>
  <w:style w:type="character" w:customStyle="1" w:styleId="a8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,Абзац Знак,Numbered Steps Знак"/>
    <w:link w:val="a7"/>
    <w:uiPriority w:val="34"/>
    <w:qFormat/>
    <w:locked/>
    <w:rsid w:val="00300BA3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Ruslan Isabekov</cp:lastModifiedBy>
  <cp:revision>31</cp:revision>
  <dcterms:created xsi:type="dcterms:W3CDTF">2025-03-06T03:40:00Z</dcterms:created>
  <dcterms:modified xsi:type="dcterms:W3CDTF">2025-08-14T04:55:00Z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