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590"/>
      </w:tblGrid>
      <w:tr w:rsidR="00CE5AEC" w:rsidRPr="000D045E" w:rsidTr="00305626">
        <w:tc>
          <w:tcPr>
            <w:tcW w:w="9720" w:type="dxa"/>
            <w:gridSpan w:val="2"/>
          </w:tcPr>
          <w:p w:rsidR="00CE5AEC" w:rsidRPr="000D045E" w:rsidRDefault="00CE5AEC" w:rsidP="00305626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D045E">
              <w:rPr>
                <w:rFonts w:ascii="Times New Roman" w:eastAsia="Times New Roman" w:hAnsi="Times New Roman"/>
                <w:b/>
                <w:lang w:eastAsia="ru-RU"/>
              </w:rPr>
              <w:t>СОГЛАШЕНИЕ О КОНФИДЕНЦИАЛЬНОСТИ</w:t>
            </w:r>
          </w:p>
        </w:tc>
      </w:tr>
      <w:tr w:rsidR="00CE5AEC" w:rsidRPr="00CE5AEC" w:rsidTr="00305626">
        <w:tc>
          <w:tcPr>
            <w:tcW w:w="9720" w:type="dxa"/>
            <w:gridSpan w:val="2"/>
          </w:tcPr>
          <w:p w:rsidR="00CE5AEC" w:rsidRPr="000D045E" w:rsidRDefault="00CE5AEC" w:rsidP="00305626">
            <w:pPr>
              <w:widowControl w:val="0"/>
              <w:contextualSpacing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D045E">
              <w:rPr>
                <w:rFonts w:ascii="Times New Roman" w:hAnsi="Times New Roman"/>
                <w:lang w:val="ru-RU"/>
              </w:rPr>
              <w:t>Бишкек, Кыргызская Республика                                                                         «_____» февраля 2025 года</w:t>
            </w:r>
          </w:p>
        </w:tc>
      </w:tr>
      <w:tr w:rsidR="00CE5AEC" w:rsidRPr="00CE5AEC" w:rsidTr="00305626">
        <w:tc>
          <w:tcPr>
            <w:tcW w:w="9720" w:type="dxa"/>
            <w:gridSpan w:val="2"/>
          </w:tcPr>
          <w:p w:rsidR="00CE5AEC" w:rsidRPr="000D045E" w:rsidRDefault="00CE5AEC" w:rsidP="00305626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CE5AEC" w:rsidRPr="000D045E" w:rsidRDefault="00CE5AEC" w:rsidP="00305626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Настоящее С</w:t>
            </w:r>
            <w:r w:rsidRPr="000D045E">
              <w:rPr>
                <w:rFonts w:ascii="Times New Roman" w:hAnsi="Times New Roman"/>
                <w:iCs/>
                <w:lang w:val="ru-RU"/>
              </w:rPr>
              <w:t>оглашение</w:t>
            </w:r>
            <w:r w:rsidRPr="000D045E">
              <w:rPr>
                <w:rFonts w:ascii="Times New Roman" w:hAnsi="Times New Roman"/>
                <w:lang w:val="ru-RU"/>
              </w:rPr>
              <w:t xml:space="preserve"> о конфиденциальности (далее – «Соглашение») заключено между </w:t>
            </w:r>
            <w:r w:rsidRPr="000D045E">
              <w:rPr>
                <w:rFonts w:ascii="Times New Roman" w:hAnsi="Times New Roman"/>
                <w:b/>
                <w:lang w:val="ru-RU"/>
              </w:rPr>
              <w:t>ЗАО «Кумтор Голд Компани»</w:t>
            </w:r>
            <w:r w:rsidRPr="000D045E">
              <w:rPr>
                <w:rFonts w:ascii="Times New Roman" w:hAnsi="Times New Roman"/>
                <w:lang w:val="ru-RU"/>
              </w:rPr>
              <w:t>, именуемым в дальнейшем «Сторона-1», в лице менеджера материально-технического снабжения, _________________________________________, действующего на основании доверенности от «____» ___________________  202_ года</w:t>
            </w:r>
            <w:r w:rsidRPr="000D045E">
              <w:rPr>
                <w:rFonts w:ascii="Times New Roman" w:eastAsia="Times New Roman" w:hAnsi="Times New Roman"/>
                <w:lang w:val="ru-RU" w:eastAsia="ru-RU"/>
              </w:rPr>
              <w:t>,</w:t>
            </w:r>
            <w:r w:rsidRPr="000D045E">
              <w:rPr>
                <w:rFonts w:ascii="Times New Roman" w:hAnsi="Times New Roman"/>
                <w:lang w:val="ru-RU"/>
              </w:rPr>
              <w:t xml:space="preserve"> с одной стороны, и </w:t>
            </w:r>
            <w:r w:rsidRPr="000D045E">
              <w:rPr>
                <w:rFonts w:ascii="Times New Roman" w:hAnsi="Times New Roman"/>
                <w:b/>
                <w:highlight w:val="yellow"/>
                <w:lang w:val="ru-RU"/>
              </w:rPr>
              <w:t>________________________________________</w:t>
            </w:r>
            <w:r w:rsidRPr="000D045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D045E">
              <w:rPr>
                <w:rFonts w:ascii="Times New Roman" w:hAnsi="Times New Roman"/>
                <w:lang w:val="ru-RU"/>
              </w:rPr>
              <w:t xml:space="preserve"> именуемым в дальнейшем «Сторона-2», в лице </w:t>
            </w:r>
            <w:r w:rsidRPr="000D045E">
              <w:rPr>
                <w:rFonts w:ascii="Times New Roman" w:hAnsi="Times New Roman"/>
                <w:b/>
                <w:bCs/>
                <w:lang w:val="ru-RU"/>
              </w:rPr>
              <w:t xml:space="preserve">директора </w:t>
            </w:r>
            <w:r w:rsidRPr="000D045E">
              <w:rPr>
                <w:rFonts w:ascii="Times New Roman" w:hAnsi="Times New Roman"/>
                <w:b/>
                <w:bCs/>
                <w:highlight w:val="yellow"/>
                <w:lang w:val="ru-RU"/>
              </w:rPr>
              <w:t>____________________________________</w:t>
            </w:r>
            <w:r w:rsidRPr="000D045E">
              <w:rPr>
                <w:rFonts w:ascii="Times New Roman" w:hAnsi="Times New Roman"/>
                <w:highlight w:val="yellow"/>
                <w:lang w:val="ru-RU"/>
              </w:rPr>
              <w:t>,</w:t>
            </w:r>
            <w:r w:rsidRPr="000D045E">
              <w:rPr>
                <w:rFonts w:ascii="Times New Roman" w:hAnsi="Times New Roman"/>
                <w:lang w:val="ru-RU"/>
              </w:rPr>
              <w:t xml:space="preserve"> действующего на основании </w:t>
            </w:r>
            <w:r w:rsidRPr="000D045E">
              <w:rPr>
                <w:rFonts w:ascii="Times New Roman" w:hAnsi="Times New Roman"/>
                <w:b/>
                <w:bCs/>
                <w:lang w:val="ru-RU"/>
              </w:rPr>
              <w:t>Устава</w:t>
            </w:r>
            <w:r w:rsidRPr="000D045E">
              <w:rPr>
                <w:rFonts w:ascii="Times New Roman" w:hAnsi="Times New Roman"/>
                <w:lang w:val="ru-RU"/>
              </w:rPr>
              <w:t>, с другой стороны, далее вместе именуемые «Стороны», а по отдельности – «Сторона», о нижеследующем:</w:t>
            </w:r>
          </w:p>
        </w:tc>
      </w:tr>
      <w:tr w:rsidR="00CE5AEC" w:rsidRPr="00450DA0" w:rsidTr="00305626">
        <w:tc>
          <w:tcPr>
            <w:tcW w:w="9720" w:type="dxa"/>
            <w:gridSpan w:val="2"/>
          </w:tcPr>
          <w:p w:rsidR="00CE5AEC" w:rsidRPr="000D045E" w:rsidRDefault="00CE5AEC" w:rsidP="00305626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0D045E">
              <w:rPr>
                <w:rFonts w:ascii="Times New Roman" w:hAnsi="Times New Roman"/>
                <w:b/>
              </w:rPr>
              <w:t>ПРЕДМЕТ СОГЛАШЕНИЯ</w:t>
            </w:r>
          </w:p>
          <w:p w:rsidR="00CE5AEC" w:rsidRPr="000D045E" w:rsidRDefault="00CE5AEC" w:rsidP="00305626">
            <w:pPr>
              <w:numPr>
                <w:ilvl w:val="1"/>
                <w:numId w:val="1"/>
              </w:numPr>
              <w:ind w:left="360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 xml:space="preserve">Целью настоящего Соглашения является защита конфиденциальной информации и/или информации, составляющей коммерческую тайну Стороны-1, передаваемых Стороной-1 Стороне-2 и определенных в настоящем Соглашении, (далее – «Конфиденциальная информация») при любом взаимодействии Стороны-2 со Стороной-1 в отношении следующей цели (проекта) </w:t>
            </w:r>
            <w:r w:rsidRPr="00450DA0">
              <w:rPr>
                <w:rFonts w:ascii="Times New Roman" w:hAnsi="Times New Roman"/>
                <w:b/>
                <w:bCs/>
                <w:lang w:val="ru-RU"/>
              </w:rPr>
              <w:t>разработка проектно-сметной документации Временных мастерских для обслуживания автомобильной техники на руднике Кумтор согласно Техническому заданию.</w:t>
            </w:r>
            <w:r w:rsidRPr="000D045E">
              <w:rPr>
                <w:rFonts w:ascii="Times New Roman" w:hAnsi="Times New Roman"/>
                <w:lang w:val="ru-RU"/>
              </w:rPr>
              <w:t xml:space="preserve"> (далее – «Цель»). </w:t>
            </w:r>
          </w:p>
        </w:tc>
      </w:tr>
      <w:tr w:rsidR="00CE5AEC" w:rsidRPr="00CE5AEC" w:rsidTr="00305626">
        <w:tc>
          <w:tcPr>
            <w:tcW w:w="9720" w:type="dxa"/>
            <w:gridSpan w:val="2"/>
          </w:tcPr>
          <w:p w:rsidR="00CE5AEC" w:rsidRPr="000D045E" w:rsidRDefault="00CE5AEC" w:rsidP="00305626">
            <w:pPr>
              <w:widowControl w:val="0"/>
              <w:numPr>
                <w:ilvl w:val="1"/>
                <w:numId w:val="1"/>
              </w:numPr>
              <w:ind w:left="360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Конфиденциальная информация в рамках Соглашения обозначает любую информацию, в том числе информацию, составляющую коммерческую тайну Стороны-1, и данные, полученные Стороной-2 от Стороны-1, или ставшие известными Стороне-2 в ходе взаимодействия со Стороной-1, в письменной, визуальной, электронной или устной форме, на электронных и материальных носителях, включая, но не ограничиваясь, в виде документов и исходных данных, и включает в себя:</w:t>
            </w:r>
          </w:p>
          <w:p w:rsidR="00CE5AEC" w:rsidRPr="000D045E" w:rsidRDefault="00CE5AEC" w:rsidP="0030562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5E">
              <w:rPr>
                <w:rFonts w:ascii="Times New Roman" w:hAnsi="Times New Roman" w:cs="Times New Roman"/>
                <w:sz w:val="24"/>
                <w:szCs w:val="24"/>
              </w:rPr>
              <w:t>любую информацию, касающуюся деятельности рудника «Кумтор» и Стороны-1, в том числе любые производственные, технические, геологические, деловые, экономические, финансовые и организационные данные и показатели, как действительные, так и планируемые или проектные, информация о процессах и формулах, планы и стратегии, конфиденциальная информация третьих лиц, копии, образцы, модели, раскрываемые Стороной-1 Стороне-2;</w:t>
            </w:r>
          </w:p>
          <w:p w:rsidR="00CE5AEC" w:rsidRPr="000D045E" w:rsidRDefault="00CE5AEC" w:rsidP="0030562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5E">
              <w:rPr>
                <w:rFonts w:ascii="Times New Roman" w:hAnsi="Times New Roman" w:cs="Times New Roman"/>
                <w:sz w:val="24"/>
                <w:szCs w:val="24"/>
              </w:rPr>
              <w:t>любые сведения относительно поставщиков товаров, работ и услуг Стороны-1 (в том числе наименование поставщиков, предмет взаимоотношений, суммы договоров, сведения об уплаченных суммах и пр.);</w:t>
            </w:r>
          </w:p>
          <w:p w:rsidR="00CE5AEC" w:rsidRPr="000D045E" w:rsidRDefault="00CE5AEC" w:rsidP="0030562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5E">
              <w:rPr>
                <w:rFonts w:ascii="Times New Roman" w:hAnsi="Times New Roman" w:cs="Times New Roman"/>
                <w:sz w:val="24"/>
                <w:szCs w:val="24"/>
              </w:rPr>
              <w:t xml:space="preserve">любая информация и сведения, полученные Стороной-2 (его должностными лицами, работниками, представителями) от руководителей, менеджеров и иных работников Стороны-1, в том числе в ходе визитов рудника «Кумтор», </w:t>
            </w:r>
          </w:p>
          <w:p w:rsidR="00CE5AEC" w:rsidRPr="000D045E" w:rsidRDefault="00CE5AEC" w:rsidP="0030562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5E">
              <w:rPr>
                <w:rFonts w:ascii="Times New Roman" w:hAnsi="Times New Roman" w:cs="Times New Roman"/>
                <w:sz w:val="24"/>
                <w:szCs w:val="24"/>
              </w:rPr>
              <w:t>любая информация и сведения, полученные или ставшие известными Стороне-2 (его должностным лицам, работникам, представителям) в ходе обсуждений, собраний, встреч, визитов, мероприятий, проводимых Стороной-1 и в которых принимает участие либо присутствует Сторона-2 (его должностные лица, работники, представители);</w:t>
            </w:r>
          </w:p>
          <w:p w:rsidR="00CE5AEC" w:rsidRPr="000D045E" w:rsidRDefault="00CE5AEC" w:rsidP="0030562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5E">
              <w:rPr>
                <w:rFonts w:ascii="Times New Roman" w:hAnsi="Times New Roman" w:cs="Times New Roman"/>
                <w:sz w:val="24"/>
                <w:szCs w:val="24"/>
              </w:rPr>
              <w:t>иную информацию, имеющую потенциальную ценность, раскрываемую Стороной-1 Стороне-2 с отметкой «Конфиденциальная» или как «Коммерческая тайна».</w:t>
            </w:r>
          </w:p>
        </w:tc>
      </w:tr>
      <w:tr w:rsidR="00CE5AEC" w:rsidRPr="00CE5AEC" w:rsidTr="00305626">
        <w:tc>
          <w:tcPr>
            <w:tcW w:w="9720" w:type="dxa"/>
            <w:gridSpan w:val="2"/>
          </w:tcPr>
          <w:p w:rsidR="00CE5AEC" w:rsidRPr="000D045E" w:rsidRDefault="00CE5AEC" w:rsidP="00305626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3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раскрытием или передачей Конфиденциальной информации третьим лицам понимается любое умышленное или непредумышленное ознакомление Стороной-2 (его должностными лицами, работниками, представителями) любых третьих лиц, будь то юридические или физические лица, со сведениями, представляющими Конфиденциальную информацию в рамках настоящего Соглашения, в любой форме, включая письменную и устную, ознакомление с оригиналами или копиями документов или выписками из них, включая обобщения, и/или передача третьим лицам, или иное </w:t>
            </w:r>
            <w:r w:rsidRPr="000D04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использование Конфиденциальной информации либо любой ее части в нарушение условий Соглашения. </w:t>
            </w:r>
          </w:p>
        </w:tc>
      </w:tr>
      <w:tr w:rsidR="00CE5AEC" w:rsidRPr="000D045E" w:rsidTr="00305626">
        <w:tc>
          <w:tcPr>
            <w:tcW w:w="9720" w:type="dxa"/>
            <w:gridSpan w:val="2"/>
          </w:tcPr>
          <w:p w:rsidR="00CE5AEC" w:rsidRPr="000D045E" w:rsidRDefault="00CE5AEC" w:rsidP="00305626">
            <w:pPr>
              <w:numPr>
                <w:ilvl w:val="1"/>
                <w:numId w:val="6"/>
              </w:numPr>
              <w:ind w:left="330"/>
              <w:contextualSpacing/>
              <w:jc w:val="both"/>
              <w:rPr>
                <w:rFonts w:ascii="Times New Roman" w:eastAsia="Calibri" w:hAnsi="Times New Roman"/>
              </w:rPr>
            </w:pPr>
            <w:r w:rsidRPr="000D045E">
              <w:rPr>
                <w:rFonts w:ascii="Times New Roman" w:hAnsi="Times New Roman"/>
                <w:lang w:val="ru-RU"/>
              </w:rPr>
              <w:lastRenderedPageBreak/>
              <w:t xml:space="preserve">Любая информация, передаваемая Стороной-1 Стороне-2 или ставшая известной Стороне-2 в рамках настоящего Соглашения, будет и останется собственностью </w:t>
            </w:r>
            <w:r w:rsidRPr="000D045E">
              <w:rPr>
                <w:rFonts w:ascii="Times New Roman" w:hAnsi="Times New Roman"/>
              </w:rPr>
              <w:t>Стороны-1.</w:t>
            </w:r>
          </w:p>
        </w:tc>
      </w:tr>
      <w:tr w:rsidR="00CE5AEC" w:rsidRPr="00CE5AEC" w:rsidTr="00305626">
        <w:tc>
          <w:tcPr>
            <w:tcW w:w="9720" w:type="dxa"/>
            <w:gridSpan w:val="2"/>
          </w:tcPr>
          <w:p w:rsidR="00CE5AEC" w:rsidRPr="000D045E" w:rsidRDefault="00CE5AEC" w:rsidP="00305626">
            <w:pPr>
              <w:numPr>
                <w:ilvl w:val="1"/>
                <w:numId w:val="1"/>
              </w:numPr>
              <w:ind w:left="330"/>
              <w:contextualSpacing/>
              <w:jc w:val="both"/>
              <w:rPr>
                <w:rFonts w:ascii="Times New Roman" w:eastAsia="Calibri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Предоставление доступа к Конфиденциальной информации ни в коем случае не подразумевает и не означает передачу или согласие на передачу Стороной-1 каких-либо лицензий, иных имущественных или неимущественных прав в отношении Конфиденциальной информации.</w:t>
            </w:r>
          </w:p>
        </w:tc>
      </w:tr>
      <w:tr w:rsidR="00CE5AEC" w:rsidRPr="00CE5AEC" w:rsidTr="00305626">
        <w:tc>
          <w:tcPr>
            <w:tcW w:w="9720" w:type="dxa"/>
            <w:gridSpan w:val="2"/>
          </w:tcPr>
          <w:p w:rsidR="00CE5AEC" w:rsidRPr="000D045E" w:rsidRDefault="00CE5AEC" w:rsidP="00305626">
            <w:pPr>
              <w:numPr>
                <w:ilvl w:val="1"/>
                <w:numId w:val="1"/>
              </w:numPr>
              <w:ind w:left="330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 xml:space="preserve"> Сторона-2 запрашивает и получает Конфиденциальную информацию исключительно для достижения Цели и по принципу «необходимо знать». </w:t>
            </w:r>
          </w:p>
        </w:tc>
      </w:tr>
      <w:tr w:rsidR="00CE5AEC" w:rsidRPr="00CE5AEC" w:rsidTr="00305626">
        <w:tc>
          <w:tcPr>
            <w:tcW w:w="9720" w:type="dxa"/>
            <w:gridSpan w:val="2"/>
          </w:tcPr>
          <w:p w:rsidR="00CE5AEC" w:rsidRPr="000D045E" w:rsidRDefault="00CE5AEC" w:rsidP="00305626">
            <w:pPr>
              <w:widowControl w:val="0"/>
              <w:numPr>
                <w:ilvl w:val="0"/>
                <w:numId w:val="3"/>
              </w:numPr>
              <w:ind w:left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D045E">
              <w:rPr>
                <w:rFonts w:ascii="Times New Roman" w:hAnsi="Times New Roman"/>
                <w:b/>
                <w:bCs/>
              </w:rPr>
              <w:t>ОБЯЗАННОСТИ СТОРОН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3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 xml:space="preserve">Сторона-2 обязана постоянно соблюдать конфиденциальность, без предварительного письменного согласования со Стороной-1 не раскрывать и не разглашать какой-либо третьей стороне никакой Конфиденциальной информации, представленной Стороной-1 Стороне-2 или ставшей известной Стороне-2 в рамках взаимодействия со Стороной-1, не использовать ее в целях, противоречащих целям настоящего Соглашения, и использовать ее только в целях, определенных Стороной-1 и в рамках сотрудничества со Стороной-1, для чего Сторона 2 обязана распространять ее среди своих работников только в той степени, в которой это будет необходимо для выполнения ими своих обязанностей и при этом должна предпринять меры по обеспечению сохранности Конфиденциальной информации и ее не распространению. Сторона-2 несет полную ответственность за действия/бездействие своих работников, представителей, руководителей. 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3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Сторона-2 обязана предпринимать все возможные меры для обеспечения сохранности Конфиденциальной информации не хуже защиты своей конфиденциальной информации и в соответствие с применимыми стандартами.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3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Сторона-2 обязана не копировать материалы, полученные в рамках настоящего Соглашения, без письменного разрешения Стороны-1, в том числе не производить выписок и письменных обобщений на их основе.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3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 xml:space="preserve">Сторона-2 обязана при обнаружении фактов или подозрения на раскрытие Конфиденциальной информации максимально быстро, но не позднее двухдневного срока, уведомить Сторону-1 об этом и немедленно принять все возможные меры по предотвращению любого дальнейшего раскрытия. В случае несанкционированного доступа к Конфиденциальной информации Сторона-2 должна сотрудничать со Стороной-1, предоставлять после письменного согласования со Стороной-1 любые уведомления и информацию о таком несанкционированном доступе соответствующим правоохранительным органам и государственным регулирующим органам. 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3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 xml:space="preserve">При обоснованном подозрении Стороной-1 нарушения Стороной-2 настоящего Соглашения, Сторона-1 имеет право проводить аудит/проверку самостоятельно или путем назначения независимой третьей стороны, которая обязана соблюдать конфиденциальность в этом отношении. Любой такая проверка должна проводиться в обычные рабочие часы Стороны-2 и будет разрешена только в той мере, в какой требуется Стороне-1 для оценки соблюдения Стороной-2 настоящего Соглашения. 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3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Сторона-2 обязана при обнаружении фактов, свидетельствующих об информированности третьих лиц о Конфиденциальной информации, даже в том случае, если такая информированность не является следствием нарушения настоящего Соглашения Стороной-2, уведомить о таких фактах Сторону-1 в кратчайшие сроки, но не позднее двух дней с момента обнаружения.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3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Сторона-2 обязана не использовать Конфиденциальную информацию с целью получения какой-либо выгоды либо иной целью.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3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 xml:space="preserve">Ни одна из Сторон не будет разглашать факт существования Соглашения без предварительного письменного согласия другой Стороны, за исключением случаев, когда </w:t>
            </w:r>
            <w:r w:rsidRPr="000D045E">
              <w:rPr>
                <w:rFonts w:ascii="Times New Roman" w:hAnsi="Times New Roman"/>
                <w:lang w:val="ru-RU"/>
              </w:rPr>
              <w:lastRenderedPageBreak/>
              <w:t>такие факты или информация должны быть предоставлены в уполномоченные государственный органы согласно требованиям законодательства Кыргызской Республики. В этом случае Сторона, предоставившая информацию уполномоченным государственным органам в соответствии с законодательством Кыргызской Республики обязана незамедлительно уведомить об этом вторую сторону, насколько это позволяет применимое законодательство.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3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 xml:space="preserve">После достижения Цели по письменному запросу Стороны-1 или и в любое время по ее запросу Сторона-2 обязуется: (а) немедленно вернуть Стороне-1 всю Конфиденциальную информацию и все копии в письменной или иной форме, находящейся во владении или хранении Стороны-2, и гарантировать и обеспечить, чтобы любая третья сторона, которой она раскрыла Конфиденциальную информацию в соответствие с положениями настоящего Соглашения, осуществила то же самое. 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3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Сторона-2 подтверждает, что разработала, внедрила и будет поддерживать эффективные политики и процедуры информационной безопасности, которые включают административные, технические и физические меры безопасности, предназначенные для (</w:t>
            </w:r>
            <w:r w:rsidRPr="000D045E">
              <w:rPr>
                <w:rFonts w:ascii="Times New Roman" w:hAnsi="Times New Roman"/>
              </w:rPr>
              <w:t>i</w:t>
            </w:r>
            <w:r w:rsidRPr="000D045E">
              <w:rPr>
                <w:rFonts w:ascii="Times New Roman" w:hAnsi="Times New Roman"/>
                <w:lang w:val="ru-RU"/>
              </w:rPr>
              <w:t>) обеспечения безопасности Конфиденциальной информации, предоставляемой Стороной-1 по настоящему Соглашению, (</w:t>
            </w:r>
            <w:r w:rsidRPr="000D045E">
              <w:rPr>
                <w:rFonts w:ascii="Times New Roman" w:hAnsi="Times New Roman"/>
              </w:rPr>
              <w:t>ii</w:t>
            </w:r>
            <w:r w:rsidRPr="000D045E">
              <w:rPr>
                <w:rFonts w:ascii="Times New Roman" w:hAnsi="Times New Roman"/>
                <w:lang w:val="ru-RU"/>
              </w:rPr>
              <w:t>) защиты от ожидаемых угроз или угроз безопасности или целостности такой Конфиденциальной информации, (</w:t>
            </w:r>
            <w:r w:rsidRPr="000D045E">
              <w:rPr>
                <w:rFonts w:ascii="Times New Roman" w:hAnsi="Times New Roman"/>
              </w:rPr>
              <w:t>iii</w:t>
            </w:r>
            <w:r w:rsidRPr="000D045E">
              <w:rPr>
                <w:rFonts w:ascii="Times New Roman" w:hAnsi="Times New Roman"/>
                <w:lang w:val="ru-RU"/>
              </w:rPr>
              <w:t>) защищать от несанкционированного доступа или использования такой Конфиденциальной информации и (</w:t>
            </w:r>
            <w:r w:rsidRPr="000D045E">
              <w:rPr>
                <w:rFonts w:ascii="Times New Roman" w:hAnsi="Times New Roman"/>
              </w:rPr>
              <w:t>iv</w:t>
            </w:r>
            <w:r w:rsidRPr="000D045E">
              <w:rPr>
                <w:rFonts w:ascii="Times New Roman" w:hAnsi="Times New Roman"/>
                <w:lang w:val="ru-RU"/>
              </w:rPr>
              <w:t xml:space="preserve">) обеспечивать надлежащее удаление Конфиденциальной информации. Весь персонал, работающий с такой Конфиденциальной информацией, прошел надлежащую подготовку по внедрению политик и процедур информационной безопасности этой стороны. Сторона-2 регулярно проверяет и пересматривает свои политики и процедуры информационной безопасности, чтобы обеспечить их постоянную эффективность и определить, необходимы ли корректировки в свете текущих обстоятельств, включая, помимо прочего, изменения в технологиях, информационных системах клиентов или угрозы или опасности для Конфиденциальной информации. 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3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 xml:space="preserve">При получении электронной формы Конфиденциальной информации Сторона-2 обязуется постоянно поддерживать сетевую безопасность, которая, как минимум, включает в себя: настройку сетевого брандмауэра, обнаружение вторжений и регулярные (не реже одного раза в год) оценки уязвимости сети третьей стороной. Аналогичным образом, Сторона-2 соглашается поддерживать безопасность сети в соответствии с общепризнанными отраслевыми стандартами и передовыми методами. 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3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 xml:space="preserve">Стороны соблюдают применимое законодательство в отношении защиты персональных данных. </w:t>
            </w:r>
          </w:p>
        </w:tc>
      </w:tr>
      <w:tr w:rsidR="00CE5AEC" w:rsidRPr="00CE5AEC" w:rsidTr="00305626">
        <w:tc>
          <w:tcPr>
            <w:tcW w:w="9720" w:type="dxa"/>
            <w:gridSpan w:val="2"/>
          </w:tcPr>
          <w:p w:rsidR="00CE5AEC" w:rsidRPr="000D045E" w:rsidRDefault="00CE5AEC" w:rsidP="00305626">
            <w:pPr>
              <w:widowControl w:val="0"/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Calibri" w:hAnsi="Times New Roman"/>
                <w:b/>
                <w:iCs/>
              </w:rPr>
            </w:pPr>
            <w:r w:rsidRPr="000D045E">
              <w:rPr>
                <w:rFonts w:ascii="Times New Roman" w:eastAsia="Calibri" w:hAnsi="Times New Roman"/>
                <w:b/>
              </w:rPr>
              <w:lastRenderedPageBreak/>
              <w:t>ОТВЕТСТВЕННОСТЬ СТОРОН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За нарушение и/или несоблюдение Стороной-2, в том числе должностными лицами, работниками, представителями Стороны-2, условий настоящего Соглашения, Сторона-2 выплачивает Стороне-1 штраф в размере и сроки, установленные Стороной-1. Также Сторона-2 возмещает Стороне-1 все убытки, связанные с раскрытием или ненадлежащим использованием Конфиденциальной информацией, нарушением условий Соглашения, в полном объеме.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Все остальные случаи ответственности, не предусмотренные настоящим Соглашением, регулируются нормами действующего законодательства Кыргызской Республики.</w:t>
            </w:r>
          </w:p>
        </w:tc>
      </w:tr>
      <w:tr w:rsidR="00CE5AEC" w:rsidRPr="00CE5AEC" w:rsidTr="00305626">
        <w:tc>
          <w:tcPr>
            <w:tcW w:w="9720" w:type="dxa"/>
            <w:gridSpan w:val="2"/>
          </w:tcPr>
          <w:p w:rsidR="00CE5AEC" w:rsidRPr="000D045E" w:rsidRDefault="00CE5AEC" w:rsidP="00305626">
            <w:pPr>
              <w:widowControl w:val="0"/>
              <w:numPr>
                <w:ilvl w:val="0"/>
                <w:numId w:val="5"/>
              </w:numPr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0D045E">
              <w:rPr>
                <w:rFonts w:ascii="Times New Roman" w:hAnsi="Times New Roman"/>
                <w:b/>
              </w:rPr>
              <w:t>РАЗРЕШЕНИЕ СПОРОВ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5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Все споры и разногласия, которые могут возникнуть между Сторонами в ходе исполнения Соглашения</w:t>
            </w:r>
            <w:r w:rsidRPr="000D045E">
              <w:rPr>
                <w:rFonts w:ascii="Times New Roman" w:hAnsi="Times New Roman"/>
                <w:iCs/>
                <w:lang w:val="ru-RU"/>
              </w:rPr>
              <w:t xml:space="preserve">, </w:t>
            </w:r>
            <w:r w:rsidRPr="000D045E">
              <w:rPr>
                <w:rFonts w:ascii="Times New Roman" w:hAnsi="Times New Roman"/>
                <w:lang w:val="ru-RU"/>
              </w:rPr>
              <w:t>Стороны обязуются разрешить путем переговоров.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5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 xml:space="preserve">Если Стороны не пришли к соглашению в ходе переговоров, разногласия должны быть разрешены в Международном третейском суде при Торгово-промышленной палате Кыргызской Республики (г. Бишкек) в соответствии с регламентом этого суда одним арбитром, в устной форме, на русском языке, и в соответствии с законодательством Кыргызской Республики. Решение Международного третейского суда является </w:t>
            </w:r>
            <w:r w:rsidRPr="000D045E">
              <w:rPr>
                <w:rFonts w:ascii="Times New Roman" w:hAnsi="Times New Roman"/>
                <w:lang w:val="ru-RU"/>
              </w:rPr>
              <w:lastRenderedPageBreak/>
              <w:t>окончательным и обязательным для исполнения обеими Сторонами.</w:t>
            </w:r>
          </w:p>
        </w:tc>
      </w:tr>
      <w:tr w:rsidR="00CE5AEC" w:rsidRPr="00CE5AEC" w:rsidTr="00305626">
        <w:tc>
          <w:tcPr>
            <w:tcW w:w="9720" w:type="dxa"/>
            <w:gridSpan w:val="2"/>
          </w:tcPr>
          <w:p w:rsidR="00CE5AEC" w:rsidRPr="000D045E" w:rsidRDefault="00CE5AEC" w:rsidP="00305626">
            <w:pPr>
              <w:widowControl w:val="0"/>
              <w:numPr>
                <w:ilvl w:val="0"/>
                <w:numId w:val="7"/>
              </w:numPr>
              <w:ind w:left="0"/>
              <w:contextualSpacing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D045E">
              <w:rPr>
                <w:rFonts w:ascii="Times New Roman" w:hAnsi="Times New Roman"/>
                <w:b/>
              </w:rPr>
              <w:lastRenderedPageBreak/>
              <w:t>ПРОЧИЕ УСЛОВИЯ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7"/>
              </w:numPr>
              <w:contextualSpacing/>
              <w:jc w:val="both"/>
              <w:outlineLvl w:val="1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Соглашение вступает в силу с даты его подписания обеими Сторонами и действует в течение 5 (пяти) лет с даты его подписания Сторонами или с даты прекращения договора, в отношении или в целях заключения которого передавалась Конфиденциальная информация, в зависимости от того, какая дата наступит позже.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7"/>
              </w:numPr>
              <w:contextualSpacing/>
              <w:jc w:val="both"/>
              <w:outlineLvl w:val="1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Ни одна из Сторон по Соглашению не вправе информировать любую третью сторону о содержании и условиях Соглашения без письменного разрешения другой Стороны.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7"/>
              </w:numPr>
              <w:contextualSpacing/>
              <w:jc w:val="both"/>
              <w:outlineLvl w:val="1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Все дополнения и изменения к настоящему Соглашению имеют юридическую силу только в том случае, если они закреплены Сторонами в письменном виде и подписаны официально уполномоченными представителями Сторон.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7"/>
              </w:numPr>
              <w:contextualSpacing/>
              <w:jc w:val="both"/>
              <w:outlineLvl w:val="1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 xml:space="preserve">Все уведомления, включая уведомление об изменении фактического и/или юридического адреса, должны быть в пятидневный срок отправлены в письменном виде заказным письмом с уведомлением по адресу другой </w:t>
            </w:r>
            <w:r w:rsidRPr="000D045E">
              <w:rPr>
                <w:rFonts w:ascii="Times New Roman" w:hAnsi="Times New Roman"/>
                <w:iCs/>
                <w:lang w:val="ru-RU"/>
              </w:rPr>
              <w:t>Стороны</w:t>
            </w:r>
            <w:r w:rsidRPr="000D045E">
              <w:rPr>
                <w:rFonts w:ascii="Times New Roman" w:hAnsi="Times New Roman"/>
                <w:lang w:val="ru-RU"/>
              </w:rPr>
              <w:t>, указанному в настоящем Соглашении</w:t>
            </w:r>
            <w:r w:rsidRPr="000D045E">
              <w:rPr>
                <w:rFonts w:ascii="Times New Roman" w:hAnsi="Times New Roman"/>
                <w:iCs/>
                <w:lang w:val="ru-RU"/>
              </w:rPr>
              <w:t>.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7"/>
              </w:numPr>
              <w:contextualSpacing/>
              <w:jc w:val="both"/>
              <w:outlineLvl w:val="1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Если одно или несколько положений Соглашения являются либо становятся недействительными, то это не может служить причиной для прекращения действия других положений.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7"/>
              </w:numPr>
              <w:contextualSpacing/>
              <w:jc w:val="both"/>
              <w:outlineLvl w:val="1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Настоящее Соглашение подписано в двух идентичных экземплярах, имеющих равную юридическую силу, по одному оригинальному экземпляру для каждой из Сторон</w:t>
            </w:r>
            <w:r w:rsidRPr="000D045E">
              <w:rPr>
                <w:rFonts w:ascii="Times New Roman" w:hAnsi="Times New Roman"/>
                <w:iCs/>
                <w:lang w:val="ru-RU"/>
              </w:rPr>
              <w:t xml:space="preserve">. </w:t>
            </w:r>
          </w:p>
          <w:p w:rsidR="00CE5AEC" w:rsidRPr="000D045E" w:rsidRDefault="00CE5AEC" w:rsidP="00305626">
            <w:pPr>
              <w:widowControl w:val="0"/>
              <w:numPr>
                <w:ilvl w:val="1"/>
                <w:numId w:val="7"/>
              </w:numPr>
              <w:contextualSpacing/>
              <w:jc w:val="both"/>
              <w:outlineLvl w:val="1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Настоящее Соглашение составлено на русском и английском языках</w:t>
            </w:r>
            <w:r w:rsidRPr="000D045E">
              <w:rPr>
                <w:rFonts w:ascii="Times New Roman" w:hAnsi="Times New Roman"/>
                <w:iCs/>
                <w:lang w:val="ru-RU"/>
              </w:rPr>
              <w:t>. В случае разногласий, возникающих из-за различного толкования положений Соглашения на русском и английском языках, русский текст Соглашения имеет преимущественную силу.</w:t>
            </w:r>
          </w:p>
          <w:p w:rsidR="00CE5AEC" w:rsidRPr="000D045E" w:rsidRDefault="00CE5AEC" w:rsidP="00305626">
            <w:pPr>
              <w:widowControl w:val="0"/>
              <w:ind w:left="360"/>
              <w:contextualSpacing/>
              <w:jc w:val="both"/>
              <w:outlineLvl w:val="1"/>
              <w:rPr>
                <w:rFonts w:ascii="Times New Roman" w:hAnsi="Times New Roman"/>
                <w:lang w:val="ru-RU"/>
              </w:rPr>
            </w:pPr>
          </w:p>
        </w:tc>
      </w:tr>
      <w:tr w:rsidR="00CE5AEC" w:rsidRPr="000D045E" w:rsidTr="00305626">
        <w:tc>
          <w:tcPr>
            <w:tcW w:w="9720" w:type="dxa"/>
            <w:gridSpan w:val="2"/>
          </w:tcPr>
          <w:p w:rsidR="00CE5AEC" w:rsidRPr="000D045E" w:rsidRDefault="00CE5AEC" w:rsidP="00305626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5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И ПОДПИСИ СТОРОН</w:t>
            </w:r>
          </w:p>
          <w:p w:rsidR="00CE5AEC" w:rsidRPr="000D045E" w:rsidRDefault="00CE5AEC" w:rsidP="00305626">
            <w:pPr>
              <w:contextualSpacing/>
              <w:rPr>
                <w:rFonts w:ascii="Times New Roman" w:hAnsi="Times New Roman"/>
              </w:rPr>
            </w:pPr>
          </w:p>
        </w:tc>
      </w:tr>
      <w:tr w:rsidR="00CE5AEC" w:rsidRPr="000D045E" w:rsidTr="00305626">
        <w:trPr>
          <w:trHeight w:val="1927"/>
        </w:trPr>
        <w:tc>
          <w:tcPr>
            <w:tcW w:w="5130" w:type="dxa"/>
          </w:tcPr>
          <w:p w:rsidR="00CE5AEC" w:rsidRPr="000D045E" w:rsidRDefault="00CE5AEC" w:rsidP="00305626">
            <w:pPr>
              <w:pStyle w:val="a4"/>
              <w:ind w:left="6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5E">
              <w:rPr>
                <w:rFonts w:ascii="Times New Roman" w:hAnsi="Times New Roman" w:cs="Times New Roman"/>
                <w:b/>
                <w:sz w:val="24"/>
                <w:szCs w:val="24"/>
              </w:rPr>
              <w:t>Сторона-1:</w:t>
            </w:r>
          </w:p>
          <w:p w:rsidR="00CE5AEC" w:rsidRPr="000D045E" w:rsidRDefault="00CE5AEC" w:rsidP="00305626">
            <w:pPr>
              <w:pStyle w:val="a4"/>
              <w:ind w:left="6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AEC" w:rsidRPr="000D045E" w:rsidRDefault="00CE5AEC" w:rsidP="00305626">
            <w:pPr>
              <w:pStyle w:val="a4"/>
              <w:ind w:left="6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5E">
              <w:rPr>
                <w:rFonts w:ascii="Times New Roman" w:hAnsi="Times New Roman" w:cs="Times New Roman"/>
                <w:b/>
                <w:sz w:val="24"/>
                <w:szCs w:val="24"/>
              </w:rPr>
              <w:t>ЗАО «Кумтор Голд Компани»</w:t>
            </w:r>
          </w:p>
          <w:p w:rsidR="00CE5AEC" w:rsidRPr="000D045E" w:rsidRDefault="00CE5AEC" w:rsidP="00305626">
            <w:pPr>
              <w:pStyle w:val="a4"/>
              <w:ind w:left="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045E">
              <w:rPr>
                <w:rFonts w:ascii="Times New Roman" w:hAnsi="Times New Roman" w:cs="Times New Roman"/>
                <w:sz w:val="24"/>
                <w:szCs w:val="24"/>
              </w:rPr>
              <w:t>Адрес: Кыргызская Республика, 720031, г.Бишкек, ул.Ибраимова, 24</w:t>
            </w:r>
          </w:p>
          <w:p w:rsidR="00CE5AEC" w:rsidRPr="000D045E" w:rsidRDefault="00CE5AEC" w:rsidP="00305626">
            <w:pPr>
              <w:pStyle w:val="a4"/>
              <w:ind w:left="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045E">
              <w:rPr>
                <w:rFonts w:ascii="Times New Roman" w:hAnsi="Times New Roman" w:cs="Times New Roman"/>
                <w:sz w:val="24"/>
                <w:szCs w:val="24"/>
              </w:rPr>
              <w:t>ИНН 01602199310079</w:t>
            </w:r>
          </w:p>
          <w:p w:rsidR="00CE5AEC" w:rsidRPr="000D045E" w:rsidRDefault="00CE5AEC" w:rsidP="00305626">
            <w:pPr>
              <w:ind w:left="75"/>
              <w:contextualSpacing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Тел.: 996(312)90-08-08, 90-07-07</w:t>
            </w:r>
          </w:p>
          <w:p w:rsidR="00CE5AEC" w:rsidRPr="000D045E" w:rsidRDefault="00CE5AEC" w:rsidP="00305626">
            <w:pPr>
              <w:widowControl w:val="0"/>
              <w:contextualSpacing/>
              <w:jc w:val="both"/>
              <w:outlineLvl w:val="1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 xml:space="preserve"> Факс: 996(312)59-15-26</w:t>
            </w:r>
          </w:p>
          <w:p w:rsidR="00CE5AEC" w:rsidRPr="000D045E" w:rsidRDefault="00CE5AEC" w:rsidP="00305626">
            <w:pPr>
              <w:ind w:left="75"/>
              <w:contextualSpacing/>
              <w:rPr>
                <w:rFonts w:ascii="Times New Roman" w:hAnsi="Times New Roman"/>
                <w:lang w:val="ru-RU"/>
              </w:rPr>
            </w:pPr>
          </w:p>
          <w:p w:rsidR="00CE5AEC" w:rsidRPr="000D045E" w:rsidRDefault="00CE5AEC" w:rsidP="00305626">
            <w:pPr>
              <w:ind w:left="75"/>
              <w:contextualSpacing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____________________/</w:t>
            </w:r>
          </w:p>
          <w:p w:rsidR="00CE5AEC" w:rsidRPr="000D045E" w:rsidRDefault="00CE5AEC" w:rsidP="00305626">
            <w:pPr>
              <w:ind w:left="75"/>
              <w:contextualSpacing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Аширкулов Ж. А.</w:t>
            </w:r>
          </w:p>
          <w:p w:rsidR="00CE5AEC" w:rsidRPr="000D045E" w:rsidRDefault="00CE5AEC" w:rsidP="00305626">
            <w:pPr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590" w:type="dxa"/>
          </w:tcPr>
          <w:p w:rsidR="00CE5AEC" w:rsidRPr="000D045E" w:rsidRDefault="00CE5AEC" w:rsidP="00305626">
            <w:pPr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  <w:r w:rsidRPr="000D045E">
              <w:rPr>
                <w:rFonts w:ascii="Times New Roman" w:hAnsi="Times New Roman"/>
                <w:b/>
                <w:bCs/>
                <w:lang w:val="ru-RU"/>
              </w:rPr>
              <w:t>Сторона-2:</w:t>
            </w:r>
          </w:p>
          <w:p w:rsidR="00CE5AEC" w:rsidRPr="000D045E" w:rsidRDefault="00CE5AEC" w:rsidP="00305626">
            <w:pPr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E5AEC" w:rsidRPr="000D045E" w:rsidRDefault="00CE5AEC" w:rsidP="00305626">
            <w:pPr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  <w:r w:rsidRPr="000D045E">
              <w:rPr>
                <w:rFonts w:ascii="Times New Roman" w:hAnsi="Times New Roman"/>
                <w:b/>
                <w:bCs/>
                <w:lang w:val="ru-RU"/>
              </w:rPr>
              <w:t xml:space="preserve">ОсОО «_____________________________» </w:t>
            </w:r>
          </w:p>
          <w:p w:rsidR="00CE5AEC" w:rsidRPr="000D045E" w:rsidRDefault="00CE5AEC" w:rsidP="00305626">
            <w:pPr>
              <w:contextualSpacing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 xml:space="preserve">Адрес: </w:t>
            </w:r>
            <w:r w:rsidRPr="000D045E">
              <w:rPr>
                <w:rFonts w:ascii="Times New Roman" w:hAnsi="Times New Roman"/>
                <w:b/>
                <w:bCs/>
                <w:lang w:val="ru-RU"/>
              </w:rPr>
              <w:t>_____________________________</w:t>
            </w:r>
          </w:p>
          <w:p w:rsidR="00CE5AEC" w:rsidRPr="000D045E" w:rsidRDefault="00CE5AEC" w:rsidP="00305626">
            <w:pPr>
              <w:contextualSpacing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 xml:space="preserve">Фактический адрес: </w:t>
            </w:r>
            <w:r w:rsidRPr="000D045E">
              <w:rPr>
                <w:rFonts w:ascii="Times New Roman" w:hAnsi="Times New Roman"/>
                <w:b/>
                <w:bCs/>
                <w:lang w:val="ru-RU"/>
              </w:rPr>
              <w:t>____________________________</w:t>
            </w:r>
          </w:p>
          <w:p w:rsidR="00CE5AEC" w:rsidRPr="000D045E" w:rsidRDefault="00CE5AEC" w:rsidP="00305626">
            <w:pPr>
              <w:contextualSpacing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 xml:space="preserve">ИНН </w:t>
            </w:r>
            <w:r w:rsidRPr="000D045E">
              <w:rPr>
                <w:rFonts w:ascii="Times New Roman" w:hAnsi="Times New Roman"/>
                <w:b/>
                <w:bCs/>
                <w:lang w:val="ru-RU"/>
              </w:rPr>
              <w:t>_______________________________</w:t>
            </w:r>
          </w:p>
          <w:p w:rsidR="00CE5AEC" w:rsidRPr="000D045E" w:rsidRDefault="00CE5AEC" w:rsidP="00305626">
            <w:pPr>
              <w:contextualSpacing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 xml:space="preserve">УГКНС по </w:t>
            </w:r>
            <w:r w:rsidRPr="000D045E">
              <w:rPr>
                <w:rFonts w:ascii="Times New Roman" w:hAnsi="Times New Roman"/>
                <w:b/>
                <w:bCs/>
                <w:lang w:val="ru-RU"/>
              </w:rPr>
              <w:t>_____________________________</w:t>
            </w:r>
            <w:r w:rsidRPr="000D045E">
              <w:rPr>
                <w:rFonts w:ascii="Times New Roman" w:hAnsi="Times New Roman"/>
                <w:lang w:val="ru-RU"/>
              </w:rPr>
              <w:t xml:space="preserve">р-ну </w:t>
            </w:r>
          </w:p>
          <w:p w:rsidR="00CE5AEC" w:rsidRPr="000D045E" w:rsidRDefault="00CE5AEC" w:rsidP="00305626">
            <w:pPr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 xml:space="preserve">Р/С </w:t>
            </w:r>
            <w:r w:rsidRPr="000D045E">
              <w:rPr>
                <w:rFonts w:ascii="Times New Roman" w:hAnsi="Times New Roman"/>
                <w:b/>
                <w:bCs/>
                <w:lang w:val="ru-RU"/>
              </w:rPr>
              <w:t>_____________________________</w:t>
            </w:r>
          </w:p>
          <w:p w:rsidR="00CE5AEC" w:rsidRPr="000D045E" w:rsidRDefault="00CE5AEC" w:rsidP="00305626">
            <w:pPr>
              <w:contextualSpacing/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 xml:space="preserve">БИК </w:t>
            </w:r>
            <w:r w:rsidRPr="000D045E">
              <w:rPr>
                <w:rFonts w:ascii="Times New Roman" w:hAnsi="Times New Roman"/>
                <w:b/>
                <w:bCs/>
              </w:rPr>
              <w:t>_____________________________</w:t>
            </w:r>
          </w:p>
          <w:p w:rsidR="00CE5AEC" w:rsidRPr="000D045E" w:rsidRDefault="00CE5AEC" w:rsidP="00305626">
            <w:pPr>
              <w:contextualSpacing/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>Банк</w:t>
            </w:r>
            <w:r w:rsidRPr="000D045E">
              <w:rPr>
                <w:rFonts w:ascii="Times New Roman" w:hAnsi="Times New Roman"/>
                <w:b/>
                <w:bCs/>
              </w:rPr>
              <w:t xml:space="preserve"> _____________________________</w:t>
            </w:r>
          </w:p>
          <w:p w:rsidR="00CE5AEC" w:rsidRPr="000D045E" w:rsidRDefault="00CE5AEC" w:rsidP="00305626">
            <w:pPr>
              <w:contextualSpacing/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 xml:space="preserve">Директор ___________________________. </w:t>
            </w:r>
            <w:r w:rsidRPr="000D045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:rsidR="00CE5AEC" w:rsidRPr="000D045E" w:rsidRDefault="00CE5AEC" w:rsidP="00CE5AEC">
      <w:pPr>
        <w:rPr>
          <w:rFonts w:ascii="Times New Roman" w:hAnsi="Times New Roman"/>
        </w:rPr>
      </w:pPr>
    </w:p>
    <w:p w:rsidR="00CE5AEC" w:rsidRPr="000D045E" w:rsidRDefault="00CE5AEC" w:rsidP="00CE5AEC">
      <w:pPr>
        <w:pStyle w:val="a3"/>
        <w:spacing w:before="240" w:beforeAutospacing="0" w:after="0" w:afterAutospacing="0"/>
        <w:ind w:firstLine="540"/>
        <w:contextualSpacing/>
        <w:jc w:val="both"/>
        <w:rPr>
          <w:lang w:val="ru-RU"/>
        </w:rPr>
      </w:pPr>
    </w:p>
    <w:p w:rsidR="00D7751C" w:rsidRPr="00CE5AEC" w:rsidRDefault="00CE5AEC" w:rsidP="00CE5AEC">
      <w:pPr>
        <w:spacing w:after="160" w:line="278" w:lineRule="auto"/>
        <w:rPr>
          <w:rFonts w:ascii="Times New Roman" w:hAnsi="Times New Roman"/>
          <w:lang w:val="ru-RU"/>
          <w14:ligatures w14:val="none"/>
        </w:rPr>
      </w:pPr>
      <w:bookmarkStart w:id="0" w:name="_GoBack"/>
      <w:bookmarkEnd w:id="0"/>
    </w:p>
    <w:sectPr w:rsidR="00D7751C" w:rsidRPr="00CE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D84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37570C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132CDB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C638BA"/>
    <w:multiLevelType w:val="hybridMultilevel"/>
    <w:tmpl w:val="F0604476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609E5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FCD7A7F"/>
    <w:multiLevelType w:val="multilevel"/>
    <w:tmpl w:val="C5840A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6" w15:restartNumberingAfterBreak="0">
    <w:nsid w:val="7123224A"/>
    <w:multiLevelType w:val="multilevel"/>
    <w:tmpl w:val="D8700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F0E00B9"/>
    <w:multiLevelType w:val="multilevel"/>
    <w:tmpl w:val="8A8A44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27"/>
    <w:rsid w:val="006C3C27"/>
    <w:rsid w:val="00880A70"/>
    <w:rsid w:val="00CE5AEC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91E9"/>
  <w15:chartTrackingRefBased/>
  <w15:docId w15:val="{720F3127-F2D6-4DBD-B4FE-CCF3978F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AEC"/>
    <w:pPr>
      <w:spacing w:after="0" w:line="240" w:lineRule="auto"/>
    </w:pPr>
    <w:rPr>
      <w:rFonts w:ascii="Aptos" w:hAnsi="Aptos" w:cs="Times New Roman"/>
      <w:sz w:val="24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AEC"/>
    <w:pPr>
      <w:spacing w:before="100" w:beforeAutospacing="1" w:after="100" w:afterAutospacing="1"/>
    </w:pPr>
    <w:rPr>
      <w:rFonts w:ascii="Times New Roman" w:hAnsi="Times New Roman"/>
      <w14:ligatures w14:val="none"/>
    </w:rPr>
  </w:style>
  <w:style w:type="paragraph" w:styleId="a4">
    <w:name w:val="List Paragraph"/>
    <w:aliases w:val="Table-Normal,RSHB_Table-Normal,Заголовок_3,Подпись рисунка,Numbered List"/>
    <w:basedOn w:val="a"/>
    <w:link w:val="a5"/>
    <w:uiPriority w:val="34"/>
    <w:qFormat/>
    <w:rsid w:val="00CE5AE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  <w14:ligatures w14:val="none"/>
    </w:rPr>
  </w:style>
  <w:style w:type="character" w:customStyle="1" w:styleId="a5">
    <w:name w:val="Абзац списка Знак"/>
    <w:aliases w:val="Table-Normal Знак,RSHB_Table-Normal Знак,Заголовок_3 Знак,Подпись рисунка Знак,Numbered List Знак"/>
    <w:link w:val="a4"/>
    <w:uiPriority w:val="34"/>
    <w:locked/>
    <w:rsid w:val="00CE5AEC"/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CE5AE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1934</Words>
  <Characters>11024</Characters>
  <Application>Microsoft Office Word</Application>
  <DocSecurity>0</DocSecurity>
  <Lines>91</Lines>
  <Paragraphs>25</Paragraphs>
  <ScaleCrop>false</ScaleCrop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2025-05-22T11:20:00Z</dcterms:created>
  <dcterms:modified xsi:type="dcterms:W3CDTF">2025-05-22T11:20:00Z</dcterms:modified>
</cp:coreProperties>
</file>