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A0E96" w14:textId="77777777" w:rsidR="00CD2B5A" w:rsidRPr="00CD2B5A" w:rsidRDefault="00CD2B5A" w:rsidP="00CD2B5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D2B5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СОГЛАШЕНИЕ О КОНФИДЕНЦИАЛЬНОСТИ</w:t>
      </w:r>
    </w:p>
    <w:p w14:paraId="670E8EE5" w14:textId="77777777" w:rsidR="00CD2B5A" w:rsidRPr="00CD2B5A" w:rsidRDefault="00CD2B5A" w:rsidP="00CD2B5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48CD184" w14:textId="4C5E8A9C" w:rsidR="00CD2B5A" w:rsidRDefault="00CD2B5A" w:rsidP="00CD2B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B5A">
        <w:rPr>
          <w:rFonts w:ascii="Times New Roman" w:hAnsi="Times New Roman" w:cs="Times New Roman"/>
          <w:sz w:val="24"/>
          <w:szCs w:val="24"/>
          <w:lang w:val="ru-RU"/>
        </w:rPr>
        <w:t xml:space="preserve">Настоящее </w:t>
      </w:r>
      <w:r w:rsidRPr="00CD2B5A">
        <w:rPr>
          <w:rFonts w:ascii="Times New Roman" w:hAnsi="Times New Roman" w:cs="Times New Roman"/>
          <w:sz w:val="24"/>
          <w:szCs w:val="24"/>
        </w:rPr>
        <w:t>C</w:t>
      </w:r>
      <w:r w:rsidRPr="00CD2B5A">
        <w:rPr>
          <w:rFonts w:ascii="Times New Roman" w:hAnsi="Times New Roman" w:cs="Times New Roman"/>
          <w:iCs/>
          <w:sz w:val="24"/>
          <w:szCs w:val="24"/>
          <w:lang w:val="ru-RU"/>
        </w:rPr>
        <w:t>оглашение</w:t>
      </w:r>
      <w:r w:rsidRPr="00CD2B5A">
        <w:rPr>
          <w:rFonts w:ascii="Times New Roman" w:hAnsi="Times New Roman" w:cs="Times New Roman"/>
          <w:sz w:val="24"/>
          <w:szCs w:val="24"/>
          <w:lang w:val="ru-RU"/>
        </w:rPr>
        <w:t xml:space="preserve"> о конфиденциальности (далее – «Соглашение») заключено </w:t>
      </w:r>
      <w:r w:rsidR="00982790">
        <w:rPr>
          <w:rFonts w:ascii="Times New Roman" w:hAnsi="Times New Roman" w:cs="Times New Roman"/>
          <w:sz w:val="24"/>
          <w:szCs w:val="24"/>
          <w:lang w:val="ru-RU"/>
        </w:rPr>
        <w:t xml:space="preserve">в городе Бишкек «____»___________ 2021 года </w:t>
      </w:r>
      <w:r w:rsidRPr="00CD2B5A">
        <w:rPr>
          <w:rFonts w:ascii="Times New Roman" w:hAnsi="Times New Roman" w:cs="Times New Roman"/>
          <w:sz w:val="24"/>
          <w:szCs w:val="24"/>
          <w:lang w:val="ru-RU"/>
        </w:rPr>
        <w:t xml:space="preserve">между </w:t>
      </w:r>
      <w:r w:rsidRPr="00CD2B5A">
        <w:rPr>
          <w:rFonts w:ascii="Times New Roman" w:hAnsi="Times New Roman" w:cs="Times New Roman"/>
          <w:b/>
          <w:sz w:val="24"/>
          <w:szCs w:val="24"/>
          <w:lang w:val="ru-RU"/>
        </w:rPr>
        <w:t>ЗАО «Кумтор Голд Компани»</w:t>
      </w:r>
      <w:r>
        <w:rPr>
          <w:rFonts w:ascii="Times New Roman" w:hAnsi="Times New Roman" w:cs="Times New Roman"/>
          <w:sz w:val="24"/>
          <w:szCs w:val="24"/>
          <w:lang w:val="ru-RU"/>
        </w:rPr>
        <w:t>, именуемым</w:t>
      </w:r>
      <w:r w:rsidRPr="00CD2B5A">
        <w:rPr>
          <w:rFonts w:ascii="Times New Roman" w:hAnsi="Times New Roman" w:cs="Times New Roman"/>
          <w:sz w:val="24"/>
          <w:szCs w:val="24"/>
          <w:lang w:val="ru-RU"/>
        </w:rPr>
        <w:t xml:space="preserve"> в дальнейшем «Сторона-1», в лице </w:t>
      </w:r>
      <w:r>
        <w:rPr>
          <w:rFonts w:ascii="Times New Roman" w:hAnsi="Times New Roman" w:cs="Times New Roman"/>
          <w:sz w:val="24"/>
          <w:szCs w:val="24"/>
          <w:lang w:val="ru-RU"/>
        </w:rPr>
        <w:t>временного внешнего управляющего Болтурук Тениз Аяпберген уулу</w:t>
      </w:r>
      <w:r w:rsidRPr="00CD2B5A">
        <w:rPr>
          <w:rFonts w:ascii="Times New Roman" w:hAnsi="Times New Roman" w:cs="Times New Roman"/>
          <w:sz w:val="24"/>
          <w:szCs w:val="24"/>
          <w:lang w:val="ru-RU"/>
        </w:rPr>
        <w:t xml:space="preserve">, действующего на основании </w:t>
      </w:r>
      <w:r w:rsidRPr="00CD2B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Распоряжения Председателя Кабинета Министров Кыргызской Республики от 17 мая 2021 года №25 и Порядка назначения временного внешнего управляющего, утвержденного постановлением Кабинета министров Кыргызской Республики от 17 мая 2021 года №7,</w:t>
      </w:r>
      <w:r w:rsidRPr="00CD2B5A">
        <w:rPr>
          <w:rFonts w:ascii="Times New Roman" w:hAnsi="Times New Roman" w:cs="Times New Roman"/>
          <w:sz w:val="24"/>
          <w:szCs w:val="24"/>
          <w:lang w:val="ru-RU"/>
        </w:rPr>
        <w:t xml:space="preserve"> с одной стороны, и </w:t>
      </w:r>
      <w:r w:rsidR="009B5F4B">
        <w:rPr>
          <w:rFonts w:ascii="Times New Roman" w:hAnsi="Times New Roman" w:cs="Times New Roman"/>
          <w:b/>
          <w:sz w:val="24"/>
          <w:szCs w:val="24"/>
          <w:lang w:val="ru-RU"/>
        </w:rPr>
        <w:t>____________________</w:t>
      </w:r>
      <w:r w:rsidRPr="00982790">
        <w:rPr>
          <w:rFonts w:ascii="Times New Roman" w:hAnsi="Times New Roman" w:cs="Times New Roman"/>
          <w:sz w:val="24"/>
          <w:szCs w:val="24"/>
          <w:lang w:val="ru-RU"/>
        </w:rPr>
        <w:t>, именуе</w:t>
      </w:r>
      <w:r w:rsidR="00982790" w:rsidRPr="00982790">
        <w:rPr>
          <w:rFonts w:ascii="Times New Roman" w:hAnsi="Times New Roman" w:cs="Times New Roman"/>
          <w:sz w:val="24"/>
          <w:szCs w:val="24"/>
          <w:lang w:val="ru-RU"/>
        </w:rPr>
        <w:t>мым в дальнейшем «Сторона-2»,</w:t>
      </w:r>
      <w:r w:rsidRPr="009827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2B5A">
        <w:rPr>
          <w:rFonts w:ascii="Times New Roman" w:hAnsi="Times New Roman" w:cs="Times New Roman"/>
          <w:sz w:val="24"/>
          <w:szCs w:val="24"/>
          <w:lang w:val="ru-RU"/>
        </w:rPr>
        <w:t xml:space="preserve">в лице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директора </w:t>
      </w:r>
      <w:r w:rsidR="009B5F4B">
        <w:rPr>
          <w:rFonts w:ascii="Times New Roman" w:hAnsi="Times New Roman" w:cs="Times New Roman"/>
          <w:sz w:val="24"/>
          <w:szCs w:val="24"/>
          <w:lang w:val="ru-RU"/>
        </w:rPr>
        <w:t>_________________</w:t>
      </w:r>
      <w:r w:rsidRPr="00CD2B5A">
        <w:rPr>
          <w:rFonts w:ascii="Times New Roman" w:hAnsi="Times New Roman" w:cs="Times New Roman"/>
          <w:sz w:val="24"/>
          <w:szCs w:val="24"/>
          <w:lang w:val="ru-RU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  <w:lang w:val="ru-RU"/>
        </w:rPr>
        <w:t>Устава</w:t>
      </w:r>
      <w:r w:rsidRPr="00CD2B5A">
        <w:rPr>
          <w:rFonts w:ascii="Times New Roman" w:hAnsi="Times New Roman" w:cs="Times New Roman"/>
          <w:sz w:val="24"/>
          <w:szCs w:val="24"/>
          <w:lang w:val="ru-RU"/>
        </w:rPr>
        <w:t xml:space="preserve">, с другой стороны, далее вместе именуемые «Стороны», а по отдельности – «Сторона», </w:t>
      </w:r>
      <w:r w:rsidR="00982790">
        <w:rPr>
          <w:rFonts w:ascii="Times New Roman" w:hAnsi="Times New Roman" w:cs="Times New Roman"/>
          <w:sz w:val="24"/>
          <w:szCs w:val="24"/>
          <w:lang w:val="ru-RU"/>
        </w:rPr>
        <w:t>о нижеследующем</w:t>
      </w:r>
      <w:r w:rsidRPr="00CD2B5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61F869B2" w14:textId="77777777" w:rsidR="002D22C6" w:rsidRDefault="002D22C6" w:rsidP="00CD2B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94E8521" w14:textId="77777777" w:rsidR="00CD2B5A" w:rsidRPr="00CD2B5A" w:rsidRDefault="00982790" w:rsidP="00CD2B5A">
      <w:pPr>
        <w:numPr>
          <w:ilvl w:val="0"/>
          <w:numId w:val="1"/>
        </w:numPr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ПРЕДМЕТ СОГЛАШЕНИЯ</w:t>
      </w:r>
    </w:p>
    <w:p w14:paraId="74560419" w14:textId="77777777" w:rsidR="00CD2B5A" w:rsidRPr="00CD2B5A" w:rsidRDefault="00CD2B5A" w:rsidP="00982790">
      <w:pPr>
        <w:numPr>
          <w:ilvl w:val="1"/>
          <w:numId w:val="1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B5A">
        <w:rPr>
          <w:rFonts w:ascii="Times New Roman" w:hAnsi="Times New Roman" w:cs="Times New Roman"/>
          <w:sz w:val="24"/>
          <w:szCs w:val="24"/>
          <w:lang w:val="ru-RU"/>
        </w:rPr>
        <w:t>Целью настоящего Соглашения является защита конфиденциальной информации</w:t>
      </w:r>
      <w:r w:rsidR="00A92195" w:rsidRPr="00A92195">
        <w:rPr>
          <w:rFonts w:ascii="Times New Roman" w:hAnsi="Times New Roman" w:cs="Times New Roman"/>
          <w:sz w:val="24"/>
          <w:szCs w:val="24"/>
          <w:lang w:val="ru-RU"/>
        </w:rPr>
        <w:t xml:space="preserve"> и/или информации</w:t>
      </w:r>
      <w:r w:rsidR="00A9219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92195" w:rsidRPr="00A92195">
        <w:rPr>
          <w:rFonts w:ascii="Times New Roman" w:hAnsi="Times New Roman" w:cs="Times New Roman"/>
          <w:sz w:val="24"/>
          <w:szCs w:val="24"/>
          <w:lang w:val="ru-RU"/>
        </w:rPr>
        <w:t xml:space="preserve"> составляющей коммерческую тайну</w:t>
      </w:r>
      <w:r w:rsidR="00A92195">
        <w:rPr>
          <w:rFonts w:ascii="Times New Roman" w:hAnsi="Times New Roman" w:cs="Times New Roman"/>
          <w:sz w:val="24"/>
          <w:szCs w:val="24"/>
          <w:lang w:val="ru-RU"/>
        </w:rPr>
        <w:t xml:space="preserve"> Стороны-1, передаваемых</w:t>
      </w:r>
      <w:r w:rsidRPr="00CD2B5A">
        <w:rPr>
          <w:rFonts w:ascii="Times New Roman" w:hAnsi="Times New Roman" w:cs="Times New Roman"/>
          <w:sz w:val="24"/>
          <w:szCs w:val="24"/>
          <w:lang w:val="ru-RU"/>
        </w:rPr>
        <w:t xml:space="preserve"> Стороной-1 Стороне-2</w:t>
      </w:r>
      <w:r w:rsidR="00A92195">
        <w:rPr>
          <w:rFonts w:ascii="Times New Roman" w:hAnsi="Times New Roman" w:cs="Times New Roman"/>
          <w:sz w:val="24"/>
          <w:szCs w:val="24"/>
          <w:lang w:val="ru-RU"/>
        </w:rPr>
        <w:t xml:space="preserve"> и определенных в настоящем Соглашении</w:t>
      </w:r>
      <w:r w:rsidRPr="00CD2B5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97072">
        <w:rPr>
          <w:rFonts w:ascii="Times New Roman" w:hAnsi="Times New Roman" w:cs="Times New Roman"/>
          <w:sz w:val="24"/>
          <w:szCs w:val="24"/>
          <w:lang w:val="ru-RU"/>
        </w:rPr>
        <w:t xml:space="preserve">(далее – «Конфиденциальная информация») </w:t>
      </w:r>
      <w:r w:rsidRPr="00CD2B5A">
        <w:rPr>
          <w:rFonts w:ascii="Times New Roman" w:hAnsi="Times New Roman" w:cs="Times New Roman"/>
          <w:sz w:val="24"/>
          <w:szCs w:val="24"/>
          <w:lang w:val="ru-RU"/>
        </w:rPr>
        <w:t xml:space="preserve">при </w:t>
      </w:r>
      <w:r w:rsidR="00A92195">
        <w:rPr>
          <w:rFonts w:ascii="Times New Roman" w:hAnsi="Times New Roman" w:cs="Times New Roman"/>
          <w:sz w:val="24"/>
          <w:szCs w:val="24"/>
          <w:lang w:val="ru-RU"/>
        </w:rPr>
        <w:t>любом взаимодействии Стороны-2 со Стороной-1</w:t>
      </w:r>
      <w:r w:rsidRPr="00CD2B5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22E82D5E" w14:textId="77777777" w:rsidR="00CD2B5A" w:rsidRPr="00CD2B5A" w:rsidRDefault="00CD2B5A" w:rsidP="00A92195">
      <w:pPr>
        <w:widowControl w:val="0"/>
        <w:numPr>
          <w:ilvl w:val="1"/>
          <w:numId w:val="1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B5A">
        <w:rPr>
          <w:rFonts w:ascii="Times New Roman" w:hAnsi="Times New Roman" w:cs="Times New Roman"/>
          <w:sz w:val="24"/>
          <w:szCs w:val="24"/>
          <w:lang w:val="ru-RU"/>
        </w:rPr>
        <w:t>Конфиденциальная информация в рамках Соглашения обозначает любую информацию</w:t>
      </w:r>
      <w:r w:rsidR="00A92195">
        <w:rPr>
          <w:rFonts w:ascii="Times New Roman" w:hAnsi="Times New Roman" w:cs="Times New Roman"/>
          <w:sz w:val="24"/>
          <w:szCs w:val="24"/>
          <w:lang w:val="ru-RU"/>
        </w:rPr>
        <w:t>, в том числе информацию, составляющую</w:t>
      </w:r>
      <w:r w:rsidR="00A92195" w:rsidRPr="00A92195">
        <w:rPr>
          <w:rFonts w:ascii="Times New Roman" w:hAnsi="Times New Roman" w:cs="Times New Roman"/>
          <w:sz w:val="24"/>
          <w:szCs w:val="24"/>
          <w:lang w:val="ru-RU"/>
        </w:rPr>
        <w:t xml:space="preserve"> коммерческую тайну Стороны-1</w:t>
      </w:r>
      <w:r w:rsidR="00A92195">
        <w:rPr>
          <w:rFonts w:ascii="Times New Roman" w:hAnsi="Times New Roman" w:cs="Times New Roman"/>
          <w:sz w:val="24"/>
          <w:szCs w:val="24"/>
          <w:lang w:val="ru-RU"/>
        </w:rPr>
        <w:t>, и данные</w:t>
      </w:r>
      <w:r w:rsidRPr="00CD2B5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92195">
        <w:rPr>
          <w:rFonts w:ascii="Times New Roman" w:hAnsi="Times New Roman" w:cs="Times New Roman"/>
          <w:sz w:val="24"/>
          <w:szCs w:val="24"/>
          <w:lang w:val="ru-RU"/>
        </w:rPr>
        <w:t>полученные Сторон</w:t>
      </w:r>
      <w:r w:rsidR="00702382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A92195">
        <w:rPr>
          <w:rFonts w:ascii="Times New Roman" w:hAnsi="Times New Roman" w:cs="Times New Roman"/>
          <w:sz w:val="24"/>
          <w:szCs w:val="24"/>
          <w:lang w:val="ru-RU"/>
        </w:rPr>
        <w:t>-2 от Стороны-1</w:t>
      </w:r>
      <w:r w:rsidR="00702382">
        <w:rPr>
          <w:rFonts w:ascii="Times New Roman" w:hAnsi="Times New Roman" w:cs="Times New Roman"/>
          <w:sz w:val="24"/>
          <w:szCs w:val="24"/>
          <w:lang w:val="ru-RU"/>
        </w:rPr>
        <w:t>, или ставшие известными Стороне-2 в ходе взаимодействия со Стороной-1,</w:t>
      </w:r>
      <w:r w:rsidRPr="00CD2B5A">
        <w:rPr>
          <w:rFonts w:ascii="Times New Roman" w:hAnsi="Times New Roman" w:cs="Times New Roman"/>
          <w:sz w:val="24"/>
          <w:szCs w:val="24"/>
          <w:lang w:val="ru-RU"/>
        </w:rPr>
        <w:t xml:space="preserve"> в письменной</w:t>
      </w:r>
      <w:r w:rsidR="00702382">
        <w:rPr>
          <w:rFonts w:ascii="Times New Roman" w:hAnsi="Times New Roman" w:cs="Times New Roman"/>
          <w:sz w:val="24"/>
          <w:szCs w:val="24"/>
          <w:lang w:val="ru-RU"/>
        </w:rPr>
        <w:t>, визуальной, электронной или</w:t>
      </w:r>
      <w:r w:rsidRPr="00CD2B5A">
        <w:rPr>
          <w:rFonts w:ascii="Times New Roman" w:hAnsi="Times New Roman" w:cs="Times New Roman"/>
          <w:sz w:val="24"/>
          <w:szCs w:val="24"/>
          <w:lang w:val="ru-RU"/>
        </w:rPr>
        <w:t xml:space="preserve"> устной форме, на электронных и материальных носителях, включая, но не ограничиваясь, в виде документов и исходных данных, и включает в себя:</w:t>
      </w:r>
    </w:p>
    <w:p w14:paraId="40213369" w14:textId="77777777" w:rsidR="00CD2B5A" w:rsidRPr="00CD2B5A" w:rsidRDefault="00A92195" w:rsidP="0098279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195">
        <w:rPr>
          <w:rFonts w:ascii="Times New Roman" w:hAnsi="Times New Roman" w:cs="Times New Roman"/>
          <w:sz w:val="24"/>
          <w:szCs w:val="24"/>
          <w:lang w:val="ru-RU"/>
        </w:rPr>
        <w:t>любую информацию, касающуюся деятельности рудника «Кумтор»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Стороны-1</w:t>
      </w:r>
      <w:r w:rsidR="00702382">
        <w:rPr>
          <w:rFonts w:ascii="Times New Roman" w:hAnsi="Times New Roman" w:cs="Times New Roman"/>
          <w:sz w:val="24"/>
          <w:szCs w:val="24"/>
          <w:lang w:val="ru-RU"/>
        </w:rPr>
        <w:t>, в том числе любые производственные, технические, геологические, деловые, экономические, финансовые и организационные данные и показатели, как действительные, так и планируемые или проектные, информация о процессах и формулах, планы и стратегии, конфиденциальная информация третьих лиц, копии, образцы, модели, раскрываемые Стороной-1 Стороне-2;</w:t>
      </w:r>
    </w:p>
    <w:p w14:paraId="54BE08D4" w14:textId="77777777" w:rsidR="00702382" w:rsidRDefault="00702382" w:rsidP="0070238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382">
        <w:rPr>
          <w:rFonts w:ascii="Times New Roman" w:hAnsi="Times New Roman" w:cs="Times New Roman"/>
          <w:sz w:val="24"/>
          <w:szCs w:val="24"/>
          <w:lang w:val="ru-RU"/>
        </w:rPr>
        <w:t xml:space="preserve">любые сведения относительно поставщиков товаров, работ и услуг </w:t>
      </w:r>
      <w:r>
        <w:rPr>
          <w:rFonts w:ascii="Times New Roman" w:hAnsi="Times New Roman" w:cs="Times New Roman"/>
          <w:sz w:val="24"/>
          <w:szCs w:val="24"/>
          <w:lang w:val="ru-RU"/>
        </w:rPr>
        <w:t>Стороны-1</w:t>
      </w:r>
      <w:r w:rsidRPr="00702382">
        <w:rPr>
          <w:rFonts w:ascii="Times New Roman" w:hAnsi="Times New Roman" w:cs="Times New Roman"/>
          <w:sz w:val="24"/>
          <w:szCs w:val="24"/>
          <w:lang w:val="ru-RU"/>
        </w:rPr>
        <w:t xml:space="preserve"> (в том числе на</w:t>
      </w:r>
      <w:r>
        <w:rPr>
          <w:rFonts w:ascii="Times New Roman" w:hAnsi="Times New Roman" w:cs="Times New Roman"/>
          <w:sz w:val="24"/>
          <w:szCs w:val="24"/>
          <w:lang w:val="ru-RU"/>
        </w:rPr>
        <w:t>именование поставщиков, предмет</w:t>
      </w:r>
      <w:r w:rsidRPr="00702382">
        <w:rPr>
          <w:rFonts w:ascii="Times New Roman" w:hAnsi="Times New Roman" w:cs="Times New Roman"/>
          <w:sz w:val="24"/>
          <w:szCs w:val="24"/>
          <w:lang w:val="ru-RU"/>
        </w:rPr>
        <w:t xml:space="preserve"> взаимоотношений, сумм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702382">
        <w:rPr>
          <w:rFonts w:ascii="Times New Roman" w:hAnsi="Times New Roman" w:cs="Times New Roman"/>
          <w:sz w:val="24"/>
          <w:szCs w:val="24"/>
          <w:lang w:val="ru-RU"/>
        </w:rPr>
        <w:t xml:space="preserve"> договоров,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сведения об </w:t>
      </w:r>
      <w:r w:rsidRPr="00702382">
        <w:rPr>
          <w:rFonts w:ascii="Times New Roman" w:hAnsi="Times New Roman" w:cs="Times New Roman"/>
          <w:sz w:val="24"/>
          <w:szCs w:val="24"/>
          <w:lang w:val="ru-RU"/>
        </w:rPr>
        <w:t>уплаченных сумм</w:t>
      </w:r>
      <w:r>
        <w:rPr>
          <w:rFonts w:ascii="Times New Roman" w:hAnsi="Times New Roman" w:cs="Times New Roman"/>
          <w:sz w:val="24"/>
          <w:szCs w:val="24"/>
          <w:lang w:val="ru-RU"/>
        </w:rPr>
        <w:t>ах</w:t>
      </w:r>
      <w:r w:rsidRPr="00702382">
        <w:rPr>
          <w:rFonts w:ascii="Times New Roman" w:hAnsi="Times New Roman" w:cs="Times New Roman"/>
          <w:sz w:val="24"/>
          <w:szCs w:val="24"/>
          <w:lang w:val="ru-RU"/>
        </w:rPr>
        <w:t xml:space="preserve"> и пр.)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9658403" w14:textId="77777777" w:rsidR="00E97072" w:rsidRDefault="00E97072" w:rsidP="00E9707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любая информация и сведения, полученные Стороной-2 (</w:t>
      </w:r>
      <w:r w:rsidRPr="00E97072">
        <w:rPr>
          <w:rFonts w:ascii="Times New Roman" w:hAnsi="Times New Roman" w:cs="Times New Roman"/>
          <w:sz w:val="24"/>
          <w:szCs w:val="24"/>
          <w:lang w:val="ru-RU"/>
        </w:rPr>
        <w:t>его должностными лицами, работниками, представителями)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руководителей, менеджеров и иных работников Стороны-1, </w:t>
      </w:r>
    </w:p>
    <w:p w14:paraId="66861625" w14:textId="3A30B3A5" w:rsidR="00E97072" w:rsidRDefault="00E97072" w:rsidP="00E9707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любая информация и сведения, полученные или ставшие известными Стороне-2 </w:t>
      </w:r>
      <w:r w:rsidRPr="00E97072">
        <w:rPr>
          <w:rFonts w:ascii="Times New Roman" w:hAnsi="Times New Roman" w:cs="Times New Roman"/>
          <w:sz w:val="24"/>
          <w:szCs w:val="24"/>
          <w:lang w:val="ru-RU"/>
        </w:rPr>
        <w:t>(его долж</w:t>
      </w:r>
      <w:r>
        <w:rPr>
          <w:rFonts w:ascii="Times New Roman" w:hAnsi="Times New Roman" w:cs="Times New Roman"/>
          <w:sz w:val="24"/>
          <w:szCs w:val="24"/>
          <w:lang w:val="ru-RU"/>
        </w:rPr>
        <w:t>ностным лицам, работникам, представителям</w:t>
      </w:r>
      <w:r w:rsidRPr="00E97072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u-RU"/>
        </w:rPr>
        <w:t>в ходе обсуждений, собраний, встреч, мероприятий, проводимых Стороной-1 и в которых принимает участие либо присутствует Сторона-2 (его должностные лица, работники, представители);</w:t>
      </w:r>
    </w:p>
    <w:p w14:paraId="410C65FA" w14:textId="77777777" w:rsidR="00BC5749" w:rsidRPr="00702382" w:rsidRDefault="00702382" w:rsidP="0070238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иную информацию, имеющую потенциальную ценность, раскрываемую Стороной-1 Стороне-2 с отметкой «Конфиденциа</w:t>
      </w:r>
      <w:r w:rsidR="00CD2B5A" w:rsidRPr="00702382">
        <w:rPr>
          <w:rFonts w:ascii="Times New Roman" w:hAnsi="Times New Roman" w:cs="Times New Roman"/>
          <w:sz w:val="24"/>
          <w:szCs w:val="24"/>
          <w:lang w:val="ru-RU"/>
        </w:rPr>
        <w:t>льная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CD2B5A" w:rsidRPr="00702382">
        <w:rPr>
          <w:rFonts w:ascii="Times New Roman" w:hAnsi="Times New Roman" w:cs="Times New Roman"/>
          <w:sz w:val="24"/>
          <w:szCs w:val="24"/>
          <w:lang w:val="ru-RU"/>
        </w:rPr>
        <w:t xml:space="preserve"> или как «Коммерческая тайна».</w:t>
      </w:r>
    </w:p>
    <w:p w14:paraId="13B10E2D" w14:textId="77777777" w:rsidR="00CD2B5A" w:rsidRPr="00CD2B5A" w:rsidRDefault="00CD2B5A" w:rsidP="00982790">
      <w:pPr>
        <w:numPr>
          <w:ilvl w:val="1"/>
          <w:numId w:val="2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2B5A">
        <w:rPr>
          <w:rFonts w:ascii="Times New Roman" w:eastAsia="Calibri" w:hAnsi="Times New Roman" w:cs="Times New Roman"/>
          <w:sz w:val="24"/>
          <w:szCs w:val="24"/>
          <w:lang w:val="ru-RU"/>
        </w:rPr>
        <w:t>Под раскрытием или передачей Конфиденциальной информации третьим лицам понимается любое умышленное или непредумышленное ознакомление Стороной-2 (его должностными лицами, работниками</w:t>
      </w:r>
      <w:r w:rsidR="00E97072">
        <w:rPr>
          <w:rFonts w:ascii="Times New Roman" w:eastAsia="Calibri" w:hAnsi="Times New Roman" w:cs="Times New Roman"/>
          <w:sz w:val="24"/>
          <w:szCs w:val="24"/>
          <w:lang w:val="ru-RU"/>
        </w:rPr>
        <w:t>, представителями</w:t>
      </w:r>
      <w:r w:rsidRPr="00CD2B5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) </w:t>
      </w:r>
      <w:r w:rsidR="00A8738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любых </w:t>
      </w:r>
      <w:r w:rsidRPr="00CD2B5A">
        <w:rPr>
          <w:rFonts w:ascii="Times New Roman" w:eastAsia="Calibri" w:hAnsi="Times New Roman" w:cs="Times New Roman"/>
          <w:sz w:val="24"/>
          <w:szCs w:val="24"/>
          <w:lang w:val="ru-RU"/>
        </w:rPr>
        <w:t>третьих лиц, будь то юридические или физические лица, со сведениями, представляющими Конфиденциальную информацию в рамках настоящего Соглашения, в любой форме, включая письменную и устную, ознакомление с оригиналами или копиями документов или выписками из них, включая обобщения, и/или передача третьим лицам</w:t>
      </w:r>
      <w:r w:rsidR="0065491E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CD2B5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или иное использование Конфиденциальной информации либо любой ее части в нарушение условий Соглашения. </w:t>
      </w:r>
    </w:p>
    <w:p w14:paraId="0A798C79" w14:textId="77777777" w:rsidR="00CD2B5A" w:rsidRPr="00CD2B5A" w:rsidRDefault="00CD2B5A" w:rsidP="00982790">
      <w:pPr>
        <w:numPr>
          <w:ilvl w:val="1"/>
          <w:numId w:val="2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2B5A">
        <w:rPr>
          <w:rFonts w:ascii="Times New Roman" w:hAnsi="Times New Roman" w:cs="Times New Roman"/>
          <w:sz w:val="24"/>
          <w:szCs w:val="24"/>
          <w:lang w:val="ru-RU"/>
        </w:rPr>
        <w:t>Любая информация, передаваемая Стороной-1 Стороне-2</w:t>
      </w:r>
      <w:r w:rsidR="0065491E">
        <w:rPr>
          <w:rFonts w:ascii="Times New Roman" w:hAnsi="Times New Roman" w:cs="Times New Roman"/>
          <w:sz w:val="24"/>
          <w:szCs w:val="24"/>
          <w:lang w:val="ru-RU"/>
        </w:rPr>
        <w:t xml:space="preserve"> или ставшая известной Стороне-2</w:t>
      </w:r>
      <w:r w:rsidRPr="00CD2B5A">
        <w:rPr>
          <w:rFonts w:ascii="Times New Roman" w:hAnsi="Times New Roman" w:cs="Times New Roman"/>
          <w:sz w:val="24"/>
          <w:szCs w:val="24"/>
          <w:lang w:val="ru-RU"/>
        </w:rPr>
        <w:t xml:space="preserve"> в рамках настоящего Соглашения, будет и останется собственностью Стороны-1.</w:t>
      </w:r>
    </w:p>
    <w:p w14:paraId="740EB34E" w14:textId="77777777" w:rsidR="00CD2B5A" w:rsidRPr="000358F3" w:rsidRDefault="00CD2B5A" w:rsidP="00982790">
      <w:pPr>
        <w:numPr>
          <w:ilvl w:val="1"/>
          <w:numId w:val="2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2B5A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Предоставление доступа к Конфиденциальной информации ни в коем случае не подразумевает и не означает передачу или согласие на передачу Стороной-1 каких-либо лицензий, иных имущественных или неимущественных прав в отношении Конфиденциальной информации.</w:t>
      </w:r>
    </w:p>
    <w:p w14:paraId="73019DC3" w14:textId="77777777" w:rsidR="000358F3" w:rsidRPr="00CD2B5A" w:rsidRDefault="000358F3" w:rsidP="000358F3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00E275F" w14:textId="77777777" w:rsidR="00CD2B5A" w:rsidRPr="00CD2B5A" w:rsidRDefault="0065491E" w:rsidP="00CD2B5A">
      <w:pPr>
        <w:widowControl w:val="0"/>
        <w:numPr>
          <w:ilvl w:val="0"/>
          <w:numId w:val="5"/>
        </w:numPr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ОБЯЗАННОСТИ СТОРОН</w:t>
      </w:r>
    </w:p>
    <w:p w14:paraId="5A091FC8" w14:textId="77777777" w:rsidR="00CD2B5A" w:rsidRPr="00CD2B5A" w:rsidRDefault="00CD2B5A" w:rsidP="000358F3">
      <w:pPr>
        <w:widowControl w:val="0"/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B5A">
        <w:rPr>
          <w:rFonts w:ascii="Times New Roman" w:hAnsi="Times New Roman" w:cs="Times New Roman"/>
          <w:sz w:val="24"/>
          <w:szCs w:val="24"/>
          <w:lang w:val="ru-RU"/>
        </w:rPr>
        <w:t xml:space="preserve">Сторона-2 обязана постоянно сохранять в тайне, </w:t>
      </w:r>
      <w:r w:rsidR="00A8738B">
        <w:rPr>
          <w:rFonts w:ascii="Times New Roman" w:hAnsi="Times New Roman" w:cs="Times New Roman"/>
          <w:sz w:val="24"/>
          <w:szCs w:val="24"/>
          <w:lang w:val="ru-RU"/>
        </w:rPr>
        <w:t>без согласования с временным внешним управляющим, назначенным и управляющим Стороной-1</w:t>
      </w:r>
      <w:r w:rsidR="00994EB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8738B">
        <w:rPr>
          <w:rFonts w:ascii="Times New Roman" w:hAnsi="Times New Roman" w:cs="Times New Roman"/>
          <w:sz w:val="24"/>
          <w:szCs w:val="24"/>
          <w:lang w:val="ru-RU"/>
        </w:rPr>
        <w:t xml:space="preserve"> или руководителем отдела по связям со СМИ </w:t>
      </w:r>
      <w:r w:rsidRPr="00CD2B5A">
        <w:rPr>
          <w:rFonts w:ascii="Times New Roman" w:hAnsi="Times New Roman" w:cs="Times New Roman"/>
          <w:sz w:val="24"/>
          <w:szCs w:val="24"/>
          <w:lang w:val="ru-RU"/>
        </w:rPr>
        <w:t>не раскрывать и не разглашать какой-либо третьей стороне никакой Конфиденциальной информации, представленной Стороной-1, не использовать ее в целях, противоречащих целям настоящего Соглашения</w:t>
      </w:r>
      <w:r w:rsidRPr="00CD2B5A">
        <w:rPr>
          <w:rFonts w:ascii="Times New Roman" w:hAnsi="Times New Roman" w:cs="Times New Roman"/>
          <w:iCs/>
          <w:sz w:val="24"/>
          <w:szCs w:val="24"/>
          <w:lang w:val="ru-RU"/>
        </w:rPr>
        <w:t>,</w:t>
      </w:r>
      <w:r w:rsidRPr="00CD2B5A">
        <w:rPr>
          <w:rFonts w:ascii="Times New Roman" w:hAnsi="Times New Roman" w:cs="Times New Roman"/>
          <w:sz w:val="24"/>
          <w:szCs w:val="24"/>
          <w:lang w:val="ru-RU"/>
        </w:rPr>
        <w:t xml:space="preserve"> и распространять ее среди своих </w:t>
      </w:r>
      <w:r w:rsidR="0065491E">
        <w:rPr>
          <w:rFonts w:ascii="Times New Roman" w:hAnsi="Times New Roman" w:cs="Times New Roman"/>
          <w:sz w:val="24"/>
          <w:szCs w:val="24"/>
          <w:lang w:val="ru-RU"/>
        </w:rPr>
        <w:t>работников</w:t>
      </w:r>
      <w:r w:rsidRPr="00CD2B5A">
        <w:rPr>
          <w:rFonts w:ascii="Times New Roman" w:hAnsi="Times New Roman" w:cs="Times New Roman"/>
          <w:sz w:val="24"/>
          <w:szCs w:val="24"/>
          <w:lang w:val="ru-RU"/>
        </w:rPr>
        <w:t xml:space="preserve"> только в той степени, в которой это будет необходимо для выполнения </w:t>
      </w:r>
      <w:r w:rsidR="0065491E">
        <w:rPr>
          <w:rFonts w:ascii="Times New Roman" w:hAnsi="Times New Roman" w:cs="Times New Roman"/>
          <w:sz w:val="24"/>
          <w:szCs w:val="24"/>
          <w:lang w:val="ru-RU"/>
        </w:rPr>
        <w:t>ими своих обязанностей</w:t>
      </w:r>
      <w:r w:rsidRPr="00CD2B5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8738B">
        <w:rPr>
          <w:rFonts w:ascii="Times New Roman" w:hAnsi="Times New Roman" w:cs="Times New Roman"/>
          <w:sz w:val="24"/>
          <w:szCs w:val="24"/>
          <w:lang w:val="ru-RU"/>
        </w:rPr>
        <w:t xml:space="preserve"> Сторона-2 несет полную ответственность за действия/бездействие своих работников, представителей, руководителей. </w:t>
      </w:r>
    </w:p>
    <w:p w14:paraId="2B15254F" w14:textId="77777777" w:rsidR="00CD2B5A" w:rsidRPr="00CD2B5A" w:rsidRDefault="00CD2B5A" w:rsidP="000358F3">
      <w:pPr>
        <w:widowControl w:val="0"/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B5A">
        <w:rPr>
          <w:rFonts w:ascii="Times New Roman" w:hAnsi="Times New Roman" w:cs="Times New Roman"/>
          <w:sz w:val="24"/>
          <w:szCs w:val="24"/>
          <w:lang w:val="ru-RU"/>
        </w:rPr>
        <w:t xml:space="preserve">Сторона-2 обязана </w:t>
      </w:r>
      <w:r w:rsidR="00994EB2">
        <w:rPr>
          <w:rFonts w:ascii="Times New Roman" w:hAnsi="Times New Roman" w:cs="Times New Roman"/>
          <w:sz w:val="24"/>
          <w:szCs w:val="24"/>
          <w:lang w:val="ru-RU"/>
        </w:rPr>
        <w:t>предпринимать</w:t>
      </w:r>
      <w:r w:rsidR="00A8738B">
        <w:rPr>
          <w:rFonts w:ascii="Times New Roman" w:hAnsi="Times New Roman" w:cs="Times New Roman"/>
          <w:sz w:val="24"/>
          <w:szCs w:val="24"/>
          <w:lang w:val="ru-RU"/>
        </w:rPr>
        <w:t xml:space="preserve"> все возможные меры для</w:t>
      </w:r>
      <w:r w:rsidRPr="00CD2B5A">
        <w:rPr>
          <w:rFonts w:ascii="Times New Roman" w:hAnsi="Times New Roman" w:cs="Times New Roman"/>
          <w:sz w:val="24"/>
          <w:szCs w:val="24"/>
          <w:lang w:val="ru-RU"/>
        </w:rPr>
        <w:t xml:space="preserve"> обеспечения сохранности Конфиденциальной информации.</w:t>
      </w:r>
    </w:p>
    <w:p w14:paraId="6544FF85" w14:textId="77777777" w:rsidR="00CD2B5A" w:rsidRPr="00CD2B5A" w:rsidRDefault="00CD2B5A" w:rsidP="000358F3">
      <w:pPr>
        <w:widowControl w:val="0"/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B5A">
        <w:rPr>
          <w:rFonts w:ascii="Times New Roman" w:hAnsi="Times New Roman" w:cs="Times New Roman"/>
          <w:sz w:val="24"/>
          <w:szCs w:val="24"/>
          <w:lang w:val="ru-RU"/>
        </w:rPr>
        <w:t>Сторона-2 обязана не копировать матер</w:t>
      </w:r>
      <w:r w:rsidR="00A8738B">
        <w:rPr>
          <w:rFonts w:ascii="Times New Roman" w:hAnsi="Times New Roman" w:cs="Times New Roman"/>
          <w:sz w:val="24"/>
          <w:szCs w:val="24"/>
          <w:lang w:val="ru-RU"/>
        </w:rPr>
        <w:t>иалы, полученные в рамках</w:t>
      </w:r>
      <w:r w:rsidRPr="00CD2B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8738B">
        <w:rPr>
          <w:rFonts w:ascii="Times New Roman" w:hAnsi="Times New Roman" w:cs="Times New Roman"/>
          <w:sz w:val="24"/>
          <w:szCs w:val="24"/>
          <w:lang w:val="ru-RU"/>
        </w:rPr>
        <w:t>настоящего Соглашения</w:t>
      </w:r>
      <w:r w:rsidRPr="00CD2B5A">
        <w:rPr>
          <w:rFonts w:ascii="Times New Roman" w:hAnsi="Times New Roman" w:cs="Times New Roman"/>
          <w:sz w:val="24"/>
          <w:szCs w:val="24"/>
          <w:lang w:val="ru-RU"/>
        </w:rPr>
        <w:t xml:space="preserve">, без </w:t>
      </w:r>
      <w:r w:rsidR="00A8738B">
        <w:rPr>
          <w:rFonts w:ascii="Times New Roman" w:hAnsi="Times New Roman" w:cs="Times New Roman"/>
          <w:sz w:val="24"/>
          <w:szCs w:val="24"/>
          <w:lang w:val="ru-RU"/>
        </w:rPr>
        <w:t xml:space="preserve">письменного </w:t>
      </w:r>
      <w:r w:rsidRPr="00CD2B5A">
        <w:rPr>
          <w:rFonts w:ascii="Times New Roman" w:hAnsi="Times New Roman" w:cs="Times New Roman"/>
          <w:sz w:val="24"/>
          <w:szCs w:val="24"/>
          <w:lang w:val="ru-RU"/>
        </w:rPr>
        <w:t>разрешения Стороны-1</w:t>
      </w:r>
      <w:r w:rsidRPr="00CD2B5A">
        <w:rPr>
          <w:rFonts w:ascii="Times New Roman" w:hAnsi="Times New Roman" w:cs="Times New Roman"/>
          <w:iCs/>
          <w:sz w:val="24"/>
          <w:szCs w:val="24"/>
          <w:lang w:val="ru-RU"/>
        </w:rPr>
        <w:t>,</w:t>
      </w:r>
      <w:r w:rsidRPr="00CD2B5A">
        <w:rPr>
          <w:rFonts w:ascii="Times New Roman" w:hAnsi="Times New Roman" w:cs="Times New Roman"/>
          <w:sz w:val="24"/>
          <w:szCs w:val="24"/>
          <w:lang w:val="ru-RU"/>
        </w:rPr>
        <w:t xml:space="preserve"> в том числе не производить выписок и письменных обобщений на их основе.</w:t>
      </w:r>
    </w:p>
    <w:p w14:paraId="230B7785" w14:textId="77777777" w:rsidR="00CD2B5A" w:rsidRPr="00CD2B5A" w:rsidRDefault="00CD2B5A" w:rsidP="000358F3">
      <w:pPr>
        <w:widowControl w:val="0"/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B5A">
        <w:rPr>
          <w:rFonts w:ascii="Times New Roman" w:hAnsi="Times New Roman" w:cs="Times New Roman"/>
          <w:sz w:val="24"/>
          <w:szCs w:val="24"/>
          <w:lang w:val="ru-RU"/>
        </w:rPr>
        <w:t xml:space="preserve">Сторона-2 обязана при обнаружении фактов или подозрения на раскрытие Конфиденциальной информации максимально быстро, но не позднее </w:t>
      </w:r>
      <w:r w:rsidR="00A8738B">
        <w:rPr>
          <w:rFonts w:ascii="Times New Roman" w:hAnsi="Times New Roman" w:cs="Times New Roman"/>
          <w:sz w:val="24"/>
          <w:szCs w:val="24"/>
          <w:lang w:val="ru-RU"/>
        </w:rPr>
        <w:t>двухдневного</w:t>
      </w:r>
      <w:r w:rsidRPr="00CD2B5A">
        <w:rPr>
          <w:rFonts w:ascii="Times New Roman" w:hAnsi="Times New Roman" w:cs="Times New Roman"/>
          <w:sz w:val="24"/>
          <w:szCs w:val="24"/>
          <w:lang w:val="ru-RU"/>
        </w:rPr>
        <w:t xml:space="preserve"> срока, уведомить Сторону-1 об этом и немедленно принять все возможные меры по предотвращению любого дальнейшего раскрытия.</w:t>
      </w:r>
    </w:p>
    <w:p w14:paraId="09F4F9DE" w14:textId="77777777" w:rsidR="00A8738B" w:rsidRDefault="00CD2B5A" w:rsidP="000358F3">
      <w:pPr>
        <w:widowControl w:val="0"/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B5A">
        <w:rPr>
          <w:rFonts w:ascii="Times New Roman" w:hAnsi="Times New Roman" w:cs="Times New Roman"/>
          <w:sz w:val="24"/>
          <w:szCs w:val="24"/>
          <w:lang w:val="ru-RU"/>
        </w:rPr>
        <w:t xml:space="preserve">Сторона-2 обязана при обнаружении фактов, свидетельствующих об информированности третьих лиц о Конфиденциальной информации, даже в том случае, если такая информированность не является следствием нарушения настоящего Соглашения Стороной-2, уведомить о таких фактах Сторону-1 в кратчайшие сроки, но не позднее </w:t>
      </w:r>
      <w:r w:rsidR="00994EB2">
        <w:rPr>
          <w:rFonts w:ascii="Times New Roman" w:hAnsi="Times New Roman" w:cs="Times New Roman"/>
          <w:sz w:val="24"/>
          <w:szCs w:val="24"/>
          <w:lang w:val="ru-RU"/>
        </w:rPr>
        <w:t>двух</w:t>
      </w:r>
      <w:r w:rsidRPr="00CD2B5A">
        <w:rPr>
          <w:rFonts w:ascii="Times New Roman" w:hAnsi="Times New Roman" w:cs="Times New Roman"/>
          <w:sz w:val="24"/>
          <w:szCs w:val="24"/>
          <w:lang w:val="ru-RU"/>
        </w:rPr>
        <w:t xml:space="preserve"> дней с момента обнаружения.</w:t>
      </w:r>
    </w:p>
    <w:p w14:paraId="1622773E" w14:textId="77777777" w:rsidR="00A8738B" w:rsidRDefault="00A8738B" w:rsidP="000358F3">
      <w:pPr>
        <w:widowControl w:val="0"/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Сторона-2 обязана не использовать Конфиденциальную информацию с целью получения ка</w:t>
      </w:r>
      <w:r w:rsidR="00994EB2">
        <w:rPr>
          <w:rFonts w:ascii="Times New Roman" w:hAnsi="Times New Roman" w:cs="Times New Roman"/>
          <w:sz w:val="24"/>
          <w:szCs w:val="24"/>
          <w:lang w:val="ru-RU"/>
        </w:rPr>
        <w:t>кой-либо выгоды либо иной целью.</w:t>
      </w:r>
    </w:p>
    <w:p w14:paraId="434544D7" w14:textId="77777777" w:rsidR="00CD2B5A" w:rsidRPr="00A8738B" w:rsidRDefault="00CD2B5A" w:rsidP="000358F3">
      <w:pPr>
        <w:widowControl w:val="0"/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738B">
        <w:rPr>
          <w:rFonts w:ascii="Times New Roman" w:hAnsi="Times New Roman" w:cs="Times New Roman"/>
          <w:sz w:val="24"/>
          <w:szCs w:val="24"/>
          <w:lang w:val="ru-RU"/>
        </w:rPr>
        <w:t>Ни одна из Сторон не будет разглашать</w:t>
      </w:r>
      <w:r w:rsidR="00A8738B">
        <w:rPr>
          <w:rFonts w:ascii="Times New Roman" w:hAnsi="Times New Roman" w:cs="Times New Roman"/>
          <w:sz w:val="24"/>
          <w:szCs w:val="24"/>
          <w:lang w:val="ru-RU"/>
        </w:rPr>
        <w:t xml:space="preserve"> факт существования Соглашения </w:t>
      </w:r>
      <w:r w:rsidRPr="00A8738B">
        <w:rPr>
          <w:rFonts w:ascii="Times New Roman" w:hAnsi="Times New Roman" w:cs="Times New Roman"/>
          <w:sz w:val="24"/>
          <w:szCs w:val="24"/>
          <w:lang w:val="ru-RU"/>
        </w:rPr>
        <w:t xml:space="preserve">без предварительного письменного согласия другой Стороны, за исключением случаев, когда такие факты или информация должны быть предоставлены в уполномоченные государственный органы согласно требованиям законодательства Кыргызской Республики. В этом случае Сторона, предоставившая информацию уполномоченным государственным органам в соответствии с законодательством Кыргызской Республики обязана незамедлительно уведомить об этом вторую </w:t>
      </w:r>
      <w:r w:rsidR="000358F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358F3">
        <w:rPr>
          <w:rFonts w:ascii="Times New Roman" w:hAnsi="Times New Roman" w:cs="Times New Roman"/>
          <w:sz w:val="24"/>
          <w:szCs w:val="24"/>
          <w:lang w:val="ru-RU"/>
        </w:rPr>
        <w:t>торону</w:t>
      </w:r>
      <w:r w:rsidRPr="00A873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36EB23D" w14:textId="77777777" w:rsidR="00CD2B5A" w:rsidRPr="00CD2B5A" w:rsidRDefault="00CD2B5A" w:rsidP="00CD2B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8B8A899" w14:textId="77777777" w:rsidR="00CD2B5A" w:rsidRPr="00CD2B5A" w:rsidRDefault="00A8738B" w:rsidP="00CD2B5A">
      <w:pPr>
        <w:widowControl w:val="0"/>
        <w:numPr>
          <w:ilvl w:val="0"/>
          <w:numId w:val="6"/>
        </w:numPr>
        <w:spacing w:after="0" w:line="240" w:lineRule="auto"/>
        <w:ind w:left="0"/>
        <w:contextualSpacing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ОТВЕТСТВЕННОСТЬ СТОРОН</w:t>
      </w:r>
    </w:p>
    <w:p w14:paraId="3F28D8A3" w14:textId="77777777" w:rsidR="00CD2B5A" w:rsidRPr="00CD2B5A" w:rsidRDefault="00CD2B5A" w:rsidP="000358F3">
      <w:pPr>
        <w:widowControl w:val="0"/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B5A">
        <w:rPr>
          <w:rFonts w:ascii="Times New Roman" w:hAnsi="Times New Roman" w:cs="Times New Roman"/>
          <w:sz w:val="24"/>
          <w:szCs w:val="24"/>
          <w:lang w:val="ru-RU"/>
        </w:rPr>
        <w:t>За нарушение и/или несоблюдение Стороной-2, в том числе должностными лицами</w:t>
      </w:r>
      <w:r w:rsidR="00A8738B">
        <w:rPr>
          <w:rFonts w:ascii="Times New Roman" w:hAnsi="Times New Roman" w:cs="Times New Roman"/>
          <w:sz w:val="24"/>
          <w:szCs w:val="24"/>
          <w:lang w:val="ru-RU"/>
        </w:rPr>
        <w:t xml:space="preserve">, работниками, представителями Стороны-2, </w:t>
      </w:r>
      <w:r w:rsidRPr="00CD2B5A">
        <w:rPr>
          <w:rFonts w:ascii="Times New Roman" w:hAnsi="Times New Roman" w:cs="Times New Roman"/>
          <w:sz w:val="24"/>
          <w:szCs w:val="24"/>
          <w:lang w:val="ru-RU"/>
        </w:rPr>
        <w:t>условий настоящего Соглашения, Сторона-2 выплачивает Стороне-1 штраф в размере и сроки, установленные Стороной-1. Также С</w:t>
      </w:r>
      <w:r w:rsidR="00994EB2">
        <w:rPr>
          <w:rFonts w:ascii="Times New Roman" w:hAnsi="Times New Roman" w:cs="Times New Roman"/>
          <w:sz w:val="24"/>
          <w:szCs w:val="24"/>
          <w:lang w:val="ru-RU"/>
        </w:rPr>
        <w:t>торона-</w:t>
      </w:r>
      <w:r w:rsidRPr="00CD2B5A">
        <w:rPr>
          <w:rFonts w:ascii="Times New Roman" w:hAnsi="Times New Roman" w:cs="Times New Roman"/>
          <w:sz w:val="24"/>
          <w:szCs w:val="24"/>
          <w:lang w:val="ru-RU"/>
        </w:rPr>
        <w:t>2 возмещает Стороне-1 все убытки, связанные с раскрытием или ненадлежащим использованием Конфиденциальной информацией</w:t>
      </w:r>
      <w:r w:rsidR="00A873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94EB2">
        <w:rPr>
          <w:rFonts w:ascii="Times New Roman" w:hAnsi="Times New Roman" w:cs="Times New Roman"/>
          <w:sz w:val="24"/>
          <w:szCs w:val="24"/>
          <w:lang w:val="ru-RU"/>
        </w:rPr>
        <w:t xml:space="preserve"> нарушением условий Соглашения,</w:t>
      </w:r>
      <w:r w:rsidR="00A8738B">
        <w:rPr>
          <w:rFonts w:ascii="Times New Roman" w:hAnsi="Times New Roman" w:cs="Times New Roman"/>
          <w:sz w:val="24"/>
          <w:szCs w:val="24"/>
          <w:lang w:val="ru-RU"/>
        </w:rPr>
        <w:t xml:space="preserve"> в полном объеме</w:t>
      </w:r>
      <w:r w:rsidRPr="00CD2B5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D0BC400" w14:textId="77777777" w:rsidR="00CD2B5A" w:rsidRDefault="00CD2B5A" w:rsidP="000358F3">
      <w:pPr>
        <w:widowControl w:val="0"/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B5A">
        <w:rPr>
          <w:rFonts w:ascii="Times New Roman" w:hAnsi="Times New Roman" w:cs="Times New Roman"/>
          <w:sz w:val="24"/>
          <w:szCs w:val="24"/>
          <w:lang w:val="ru-RU"/>
        </w:rPr>
        <w:t>Все остальные случаи ответственности, не предусмотренные настоящим Соглашением, регулируются нормами действующего законодательства Кыргызской Республики.</w:t>
      </w:r>
    </w:p>
    <w:p w14:paraId="676B0538" w14:textId="77777777" w:rsidR="000358F3" w:rsidRPr="00CD2B5A" w:rsidRDefault="000358F3" w:rsidP="000358F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FB431A7" w14:textId="77777777" w:rsidR="00CD2B5A" w:rsidRPr="00CD2B5A" w:rsidRDefault="00A8738B" w:rsidP="00CD2B5A">
      <w:pPr>
        <w:widowControl w:val="0"/>
        <w:numPr>
          <w:ilvl w:val="0"/>
          <w:numId w:val="7"/>
        </w:numPr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РАЗРЕШЕНИЕ СПОРОВ</w:t>
      </w:r>
    </w:p>
    <w:p w14:paraId="0EE19442" w14:textId="77777777" w:rsidR="00A8738B" w:rsidRDefault="00CD2B5A" w:rsidP="000358F3">
      <w:pPr>
        <w:widowControl w:val="0"/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B5A">
        <w:rPr>
          <w:rFonts w:ascii="Times New Roman" w:hAnsi="Times New Roman" w:cs="Times New Roman"/>
          <w:sz w:val="24"/>
          <w:szCs w:val="24"/>
          <w:lang w:val="ru-RU"/>
        </w:rPr>
        <w:t>Все споры и разногласия, которые могут возникнуть между Сторонами в ходе исполнения Соглашения</w:t>
      </w:r>
      <w:r w:rsidRPr="00CD2B5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</w:t>
      </w:r>
      <w:r w:rsidRPr="00CD2B5A">
        <w:rPr>
          <w:rFonts w:ascii="Times New Roman" w:hAnsi="Times New Roman" w:cs="Times New Roman"/>
          <w:sz w:val="24"/>
          <w:szCs w:val="24"/>
          <w:lang w:val="ru-RU"/>
        </w:rPr>
        <w:t>Стороны обязуются разрешить путем переговоров.</w:t>
      </w:r>
    </w:p>
    <w:p w14:paraId="7F01717A" w14:textId="77777777" w:rsidR="00CD2B5A" w:rsidRDefault="00CD2B5A" w:rsidP="000358F3">
      <w:pPr>
        <w:widowControl w:val="0"/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738B">
        <w:rPr>
          <w:rFonts w:ascii="Times New Roman" w:hAnsi="Times New Roman" w:cs="Times New Roman"/>
          <w:sz w:val="24"/>
          <w:szCs w:val="24"/>
          <w:lang w:val="ru-RU"/>
        </w:rPr>
        <w:lastRenderedPageBreak/>
        <w:t>Если Стороны не пришли к соглашению в ходе переговоров, разногласия должны быть разрешены в Международном третейском суде при Торгово-промышленной палате Кыргызской Республики (г. Бишкек) в соответствии с регламентом этого суда одним арбитром, в устной форме, на русском языке, и в соответствии с законодательством Кыргызской Республики. Решение Международного третейского суда является окончательным и обязательным для исполнения обеими Сторонами.</w:t>
      </w:r>
    </w:p>
    <w:p w14:paraId="756B5CCA" w14:textId="77777777" w:rsidR="000358F3" w:rsidRPr="00A8738B" w:rsidRDefault="000358F3" w:rsidP="000358F3">
      <w:pPr>
        <w:widowControl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2D39ACF" w14:textId="77777777" w:rsidR="00CD2B5A" w:rsidRPr="00CD2B5A" w:rsidRDefault="00A8738B" w:rsidP="00CD2B5A">
      <w:pPr>
        <w:widowControl w:val="0"/>
        <w:numPr>
          <w:ilvl w:val="0"/>
          <w:numId w:val="7"/>
        </w:numPr>
        <w:spacing w:after="0" w:line="240" w:lineRule="auto"/>
        <w:ind w:left="0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ПРОЧИЕ УСЛОВИЯ</w:t>
      </w:r>
    </w:p>
    <w:p w14:paraId="7AE6C08D" w14:textId="77777777" w:rsidR="00CD2B5A" w:rsidRPr="00CD2B5A" w:rsidRDefault="00CD2B5A" w:rsidP="000358F3">
      <w:pPr>
        <w:widowControl w:val="0"/>
        <w:numPr>
          <w:ilvl w:val="1"/>
          <w:numId w:val="7"/>
        </w:numPr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CD2B5A">
        <w:rPr>
          <w:rFonts w:ascii="Times New Roman" w:hAnsi="Times New Roman" w:cs="Times New Roman"/>
          <w:sz w:val="24"/>
          <w:szCs w:val="24"/>
          <w:lang w:val="ru-RU"/>
        </w:rPr>
        <w:t xml:space="preserve">Соглашение </w:t>
      </w:r>
      <w:r w:rsidR="000358F3">
        <w:rPr>
          <w:rFonts w:ascii="Times New Roman" w:hAnsi="Times New Roman" w:cs="Times New Roman"/>
          <w:sz w:val="24"/>
          <w:szCs w:val="24"/>
          <w:lang w:val="ru-RU"/>
        </w:rPr>
        <w:t>вступает в силу с даты его подписания обеими Сторонами, но при этом распространяет свое действие на отношения</w:t>
      </w:r>
      <w:r w:rsidR="00FF2716">
        <w:rPr>
          <w:rFonts w:ascii="Times New Roman" w:hAnsi="Times New Roman" w:cs="Times New Roman"/>
          <w:sz w:val="24"/>
          <w:szCs w:val="24"/>
          <w:lang w:val="ru-RU"/>
        </w:rPr>
        <w:t xml:space="preserve"> (взаимодействия)</w:t>
      </w:r>
      <w:r w:rsidR="000358F3">
        <w:rPr>
          <w:rFonts w:ascii="Times New Roman" w:hAnsi="Times New Roman" w:cs="Times New Roman"/>
          <w:sz w:val="24"/>
          <w:szCs w:val="24"/>
          <w:lang w:val="ru-RU"/>
        </w:rPr>
        <w:t xml:space="preserve"> Сторон, возникшие с 17 мая 2021 года. Соглашение действует </w:t>
      </w:r>
      <w:r w:rsidRPr="00CD2B5A">
        <w:rPr>
          <w:rFonts w:ascii="Times New Roman" w:hAnsi="Times New Roman" w:cs="Times New Roman"/>
          <w:sz w:val="24"/>
          <w:szCs w:val="24"/>
          <w:lang w:val="ru-RU"/>
        </w:rPr>
        <w:t xml:space="preserve">в течение </w:t>
      </w:r>
      <w:r w:rsidR="000358F3">
        <w:rPr>
          <w:rFonts w:ascii="Times New Roman" w:hAnsi="Times New Roman" w:cs="Times New Roman"/>
          <w:sz w:val="24"/>
          <w:szCs w:val="24"/>
          <w:lang w:val="ru-RU"/>
        </w:rPr>
        <w:t>15 (пятнадцати)</w:t>
      </w:r>
      <w:r w:rsidRPr="00CD2B5A">
        <w:rPr>
          <w:rFonts w:ascii="Times New Roman" w:hAnsi="Times New Roman" w:cs="Times New Roman"/>
          <w:sz w:val="24"/>
          <w:szCs w:val="24"/>
          <w:lang w:val="ru-RU"/>
        </w:rPr>
        <w:t xml:space="preserve"> лет с даты его подписания Сторонами.</w:t>
      </w:r>
    </w:p>
    <w:p w14:paraId="0175DAC3" w14:textId="77777777" w:rsidR="00CD2B5A" w:rsidRPr="00CD2B5A" w:rsidRDefault="00CD2B5A" w:rsidP="000358F3">
      <w:pPr>
        <w:widowControl w:val="0"/>
        <w:numPr>
          <w:ilvl w:val="1"/>
          <w:numId w:val="7"/>
        </w:numPr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CD2B5A">
        <w:rPr>
          <w:rFonts w:ascii="Times New Roman" w:hAnsi="Times New Roman" w:cs="Times New Roman"/>
          <w:sz w:val="24"/>
          <w:szCs w:val="24"/>
          <w:lang w:val="ru-RU"/>
        </w:rPr>
        <w:t>Ни одна из Сторон по Соглашению не вправе информировать любую третью сторону о содержании и условиях Соглашения без письменного разрешения другой Стороны.</w:t>
      </w:r>
    </w:p>
    <w:p w14:paraId="21560FEE" w14:textId="77777777" w:rsidR="00CD2B5A" w:rsidRPr="00CD2B5A" w:rsidRDefault="00CD2B5A" w:rsidP="000358F3">
      <w:pPr>
        <w:widowControl w:val="0"/>
        <w:numPr>
          <w:ilvl w:val="1"/>
          <w:numId w:val="7"/>
        </w:numPr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CD2B5A">
        <w:rPr>
          <w:rFonts w:ascii="Times New Roman" w:hAnsi="Times New Roman" w:cs="Times New Roman"/>
          <w:sz w:val="24"/>
          <w:szCs w:val="24"/>
          <w:lang w:val="ru-RU"/>
        </w:rPr>
        <w:t>Все дополнения и изменения к настоящему Соглашению имеют юридическую силу только в том случае, если они закреплены Сторонами в письменном виде и подписаны официально уполномоченными представителями Сторон.</w:t>
      </w:r>
    </w:p>
    <w:p w14:paraId="7DADF3ED" w14:textId="77777777" w:rsidR="00CD2B5A" w:rsidRPr="00CD2B5A" w:rsidRDefault="00CD2B5A" w:rsidP="000358F3">
      <w:pPr>
        <w:widowControl w:val="0"/>
        <w:numPr>
          <w:ilvl w:val="1"/>
          <w:numId w:val="7"/>
        </w:numPr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CD2B5A">
        <w:rPr>
          <w:rFonts w:ascii="Times New Roman" w:hAnsi="Times New Roman" w:cs="Times New Roman"/>
          <w:sz w:val="24"/>
          <w:szCs w:val="24"/>
          <w:lang w:val="ru-RU"/>
        </w:rPr>
        <w:t xml:space="preserve">Все уведомления, включая уведомление об изменении фактического и/или юридического адреса, должны быть в пятидневный срок отправлены в письменном виде заказным письмом с уведомлением по адресу другой </w:t>
      </w:r>
      <w:r w:rsidRPr="00CD2B5A">
        <w:rPr>
          <w:rFonts w:ascii="Times New Roman" w:hAnsi="Times New Roman" w:cs="Times New Roman"/>
          <w:iCs/>
          <w:sz w:val="24"/>
          <w:szCs w:val="24"/>
          <w:lang w:val="ru-RU"/>
        </w:rPr>
        <w:t>Стороны</w:t>
      </w:r>
      <w:r w:rsidRPr="00CD2B5A">
        <w:rPr>
          <w:rFonts w:ascii="Times New Roman" w:hAnsi="Times New Roman" w:cs="Times New Roman"/>
          <w:sz w:val="24"/>
          <w:szCs w:val="24"/>
          <w:lang w:val="ru-RU"/>
        </w:rPr>
        <w:t>, указанному в настоящем Соглашении</w:t>
      </w:r>
      <w:r w:rsidRPr="00CD2B5A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</w:p>
    <w:p w14:paraId="1573C7F8" w14:textId="77777777" w:rsidR="000358F3" w:rsidRDefault="00CD2B5A" w:rsidP="000358F3">
      <w:pPr>
        <w:widowControl w:val="0"/>
        <w:numPr>
          <w:ilvl w:val="1"/>
          <w:numId w:val="7"/>
        </w:numPr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CD2B5A">
        <w:rPr>
          <w:rFonts w:ascii="Times New Roman" w:hAnsi="Times New Roman" w:cs="Times New Roman"/>
          <w:sz w:val="24"/>
          <w:szCs w:val="24"/>
          <w:lang w:val="ru-RU"/>
        </w:rPr>
        <w:t>Если одно или несколько положений Соглашения являются либо становятся недействительными, то это не может служить причиной для прекращения действия других положений.</w:t>
      </w:r>
    </w:p>
    <w:p w14:paraId="15CB3084" w14:textId="77777777" w:rsidR="00CD2B5A" w:rsidRPr="000358F3" w:rsidRDefault="00CD2B5A" w:rsidP="00631BC9">
      <w:pPr>
        <w:widowControl w:val="0"/>
        <w:numPr>
          <w:ilvl w:val="1"/>
          <w:numId w:val="7"/>
        </w:numPr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0358F3">
        <w:rPr>
          <w:rFonts w:ascii="Times New Roman" w:hAnsi="Times New Roman" w:cs="Times New Roman"/>
          <w:sz w:val="24"/>
          <w:szCs w:val="24"/>
          <w:lang w:val="ru-RU"/>
        </w:rPr>
        <w:t>Настоящее Соглашение подписано в двух идентичных экземплярах, имеющих равную юридическую силу, по одному оригинальному экземпляру для каждой из Сторон</w:t>
      </w:r>
      <w:r w:rsidRPr="000358F3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. </w:t>
      </w:r>
    </w:p>
    <w:p w14:paraId="2F10ED01" w14:textId="77777777" w:rsidR="000358F3" w:rsidRPr="000358F3" w:rsidRDefault="000358F3" w:rsidP="000358F3">
      <w:pPr>
        <w:widowControl w:val="0"/>
        <w:spacing w:after="0" w:line="240" w:lineRule="auto"/>
        <w:ind w:left="36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</w:p>
    <w:p w14:paraId="376109EB" w14:textId="77777777" w:rsidR="000358F3" w:rsidRDefault="000358F3" w:rsidP="000358F3">
      <w:pPr>
        <w:pStyle w:val="ListParagraph"/>
        <w:widowControl w:val="0"/>
        <w:numPr>
          <w:ilvl w:val="0"/>
          <w:numId w:val="7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358F3">
        <w:rPr>
          <w:rFonts w:ascii="Times New Roman" w:hAnsi="Times New Roman" w:cs="Times New Roman"/>
          <w:b/>
          <w:sz w:val="24"/>
          <w:szCs w:val="24"/>
          <w:lang w:val="ru-RU"/>
        </w:rPr>
        <w:t>РЕКВИЗИТЫ И ПОДПИСИ СТОРОН</w:t>
      </w:r>
    </w:p>
    <w:p w14:paraId="20C64BF2" w14:textId="77777777" w:rsidR="000358F3" w:rsidRPr="000358F3" w:rsidRDefault="000358F3" w:rsidP="000358F3">
      <w:pPr>
        <w:pStyle w:val="ListParagraph"/>
        <w:widowControl w:val="0"/>
        <w:ind w:left="360"/>
        <w:outlineLvl w:val="1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3"/>
      </w:tblGrid>
      <w:tr w:rsidR="000358F3" w:rsidRPr="000358F3" w14:paraId="40122EE0" w14:textId="77777777" w:rsidTr="00241F4C">
        <w:tc>
          <w:tcPr>
            <w:tcW w:w="4814" w:type="dxa"/>
          </w:tcPr>
          <w:p w14:paraId="725C5901" w14:textId="77777777" w:rsidR="000358F3" w:rsidRPr="000358F3" w:rsidRDefault="000358F3" w:rsidP="000358F3">
            <w:pPr>
              <w:pStyle w:val="ListParagraph"/>
              <w:ind w:left="-3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Сторона-1</w:t>
            </w:r>
            <w:r w:rsidRPr="000358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4813" w:type="dxa"/>
          </w:tcPr>
          <w:p w14:paraId="5BCF7040" w14:textId="77777777" w:rsidR="000358F3" w:rsidRPr="000358F3" w:rsidRDefault="000358F3" w:rsidP="000358F3">
            <w:pPr>
              <w:pStyle w:val="ListParagraph"/>
              <w:ind w:left="-59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Сторона-2</w:t>
            </w:r>
            <w:r w:rsidRPr="000358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0358F3" w:rsidRPr="000358F3" w14:paraId="372EF80F" w14:textId="77777777" w:rsidTr="00241F4C">
        <w:tc>
          <w:tcPr>
            <w:tcW w:w="4814" w:type="dxa"/>
          </w:tcPr>
          <w:p w14:paraId="149D293C" w14:textId="77777777" w:rsidR="000358F3" w:rsidRPr="000358F3" w:rsidRDefault="000358F3" w:rsidP="000358F3">
            <w:pPr>
              <w:pStyle w:val="ListParagraph"/>
              <w:ind w:left="6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358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ЗАО «Кумтор Голд Компани»</w:t>
            </w:r>
          </w:p>
          <w:p w14:paraId="6C439ED0" w14:textId="77777777" w:rsidR="000358F3" w:rsidRPr="000358F3" w:rsidRDefault="000358F3" w:rsidP="000358F3">
            <w:pPr>
              <w:pStyle w:val="ListParagraph"/>
              <w:ind w:left="60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Адрес: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Кыргызская Республика, </w:t>
            </w:r>
            <w:r w:rsidRPr="00035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720031, г.Бишкек, ул.Ибраимова, 24</w:t>
            </w:r>
          </w:p>
          <w:p w14:paraId="79307E5B" w14:textId="77777777" w:rsidR="000358F3" w:rsidRPr="000358F3" w:rsidRDefault="000358F3" w:rsidP="000358F3">
            <w:pPr>
              <w:pStyle w:val="ListParagraph"/>
              <w:ind w:left="60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 01602199310079</w:t>
            </w:r>
          </w:p>
          <w:p w14:paraId="546C5F5F" w14:textId="77777777" w:rsidR="000358F3" w:rsidRPr="000358F3" w:rsidRDefault="000358F3" w:rsidP="000358F3">
            <w:pPr>
              <w:pStyle w:val="ListParagraph"/>
              <w:ind w:left="60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Филиал ОАО «Оптима Банк» №1 в г.Бишкек</w:t>
            </w:r>
          </w:p>
          <w:p w14:paraId="5C939228" w14:textId="77777777" w:rsidR="000358F3" w:rsidRPr="000358F3" w:rsidRDefault="000358F3" w:rsidP="000358F3">
            <w:pPr>
              <w:pStyle w:val="ListParagraph"/>
              <w:ind w:left="60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р/с 1090800212150559</w:t>
            </w:r>
          </w:p>
          <w:p w14:paraId="245AEFC9" w14:textId="77777777" w:rsidR="000358F3" w:rsidRDefault="000358F3" w:rsidP="000358F3">
            <w:pPr>
              <w:pStyle w:val="ListParagraph"/>
              <w:ind w:left="60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БИК109008</w:t>
            </w:r>
          </w:p>
          <w:p w14:paraId="4FADB109" w14:textId="77777777" w:rsidR="000358F3" w:rsidRPr="000358F3" w:rsidRDefault="000358F3" w:rsidP="000358F3">
            <w:pPr>
              <w:pStyle w:val="ListParagraph"/>
              <w:ind w:left="60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Тел.</w:t>
            </w:r>
            <w:r w:rsidR="00241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996(312)90-08-08, 90-07-07</w:t>
            </w:r>
          </w:p>
        </w:tc>
        <w:tc>
          <w:tcPr>
            <w:tcW w:w="4813" w:type="dxa"/>
          </w:tcPr>
          <w:p w14:paraId="556D76E4" w14:textId="7A4E2579" w:rsidR="000358F3" w:rsidRPr="00241F4C" w:rsidRDefault="000358F3" w:rsidP="000358F3">
            <w:pPr>
              <w:pStyle w:val="ListParagraph"/>
              <w:ind w:left="31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376F3C0" w14:textId="77777777" w:rsidR="000358F3" w:rsidRDefault="000358F3" w:rsidP="000358F3">
            <w:pPr>
              <w:pStyle w:val="ListParagraph"/>
              <w:ind w:left="31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Адрес:</w:t>
            </w:r>
          </w:p>
          <w:p w14:paraId="6571EE4E" w14:textId="77777777" w:rsidR="000358F3" w:rsidRDefault="000358F3" w:rsidP="000358F3">
            <w:pPr>
              <w:pStyle w:val="ListParagraph"/>
              <w:ind w:left="31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Р/с:</w:t>
            </w:r>
          </w:p>
          <w:p w14:paraId="5ED01335" w14:textId="77777777" w:rsidR="000358F3" w:rsidRPr="000358F3" w:rsidRDefault="000358F3" w:rsidP="000358F3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Тел.:</w:t>
            </w:r>
          </w:p>
          <w:p w14:paraId="6F7DAF2B" w14:textId="77777777" w:rsidR="000358F3" w:rsidRPr="000358F3" w:rsidRDefault="000358F3" w:rsidP="000358F3">
            <w:pPr>
              <w:pStyle w:val="ListParagraph"/>
              <w:ind w:left="31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3B5F96F" w14:textId="77777777" w:rsidR="000358F3" w:rsidRPr="000358F3" w:rsidRDefault="000358F3" w:rsidP="000358F3">
            <w:pPr>
              <w:pStyle w:val="ListParagraph"/>
              <w:ind w:left="31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58F3" w:rsidRPr="000358F3" w14:paraId="7A9AD762" w14:textId="77777777" w:rsidTr="00241F4C">
        <w:tc>
          <w:tcPr>
            <w:tcW w:w="4814" w:type="dxa"/>
          </w:tcPr>
          <w:p w14:paraId="1FEF1E09" w14:textId="77777777" w:rsidR="000358F3" w:rsidRPr="000358F3" w:rsidRDefault="000358F3" w:rsidP="000358F3">
            <w:pPr>
              <w:pStyle w:val="ListParagraph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35FF6CB" w14:textId="77777777" w:rsidR="000358F3" w:rsidRDefault="000358F3" w:rsidP="000358F3">
            <w:pPr>
              <w:pStyle w:val="ListParagraph"/>
              <w:ind w:left="31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38B9414" w14:textId="77777777" w:rsidR="000358F3" w:rsidRDefault="000358F3" w:rsidP="000358F3">
            <w:pPr>
              <w:pStyle w:val="ListParagraph"/>
              <w:ind w:left="31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_________________________ </w:t>
            </w:r>
          </w:p>
          <w:p w14:paraId="1CBC7DF0" w14:textId="77777777" w:rsidR="00241F4C" w:rsidRDefault="00241F4C" w:rsidP="000358F3">
            <w:pPr>
              <w:pStyle w:val="ListParagraph"/>
              <w:ind w:left="31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358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Болтурук Тениз Аяпберген уулу</w:t>
            </w:r>
          </w:p>
          <w:p w14:paraId="06381C49" w14:textId="77777777" w:rsidR="000358F3" w:rsidRPr="000358F3" w:rsidRDefault="000358F3" w:rsidP="000358F3">
            <w:pPr>
              <w:pStyle w:val="ListParagraph"/>
              <w:ind w:left="31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358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Временный внешний управляющий </w:t>
            </w:r>
          </w:p>
          <w:p w14:paraId="31A1C38F" w14:textId="77777777" w:rsidR="000358F3" w:rsidRPr="000358F3" w:rsidRDefault="000358F3" w:rsidP="000358F3">
            <w:pPr>
              <w:pStyle w:val="ListParagraph"/>
              <w:ind w:left="31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3" w:type="dxa"/>
          </w:tcPr>
          <w:p w14:paraId="25D810C7" w14:textId="77777777" w:rsidR="00241F4C" w:rsidRDefault="00241F4C" w:rsidP="000358F3">
            <w:pPr>
              <w:pStyle w:val="ListParagraph"/>
              <w:ind w:left="31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D08753C" w14:textId="77777777" w:rsidR="00241F4C" w:rsidRDefault="00241F4C" w:rsidP="000358F3">
            <w:pPr>
              <w:pStyle w:val="ListParagraph"/>
              <w:ind w:left="31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88681EB" w14:textId="77777777" w:rsidR="000358F3" w:rsidRDefault="00241F4C" w:rsidP="000358F3">
            <w:pPr>
              <w:pStyle w:val="ListParagraph"/>
              <w:ind w:left="31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</w:t>
            </w:r>
          </w:p>
          <w:p w14:paraId="5B330FC7" w14:textId="09D36E5B" w:rsidR="00241F4C" w:rsidRPr="009B5F4B" w:rsidRDefault="00241F4C" w:rsidP="009B5F4B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0F1256D" w14:textId="77777777" w:rsidR="00241F4C" w:rsidRPr="00241F4C" w:rsidRDefault="00241F4C" w:rsidP="00241F4C">
            <w:pPr>
              <w:pStyle w:val="ListParagraph"/>
              <w:ind w:left="31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1F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Директор </w:t>
            </w:r>
          </w:p>
          <w:p w14:paraId="4E35A229" w14:textId="77777777" w:rsidR="00241F4C" w:rsidRPr="000358F3" w:rsidRDefault="00241F4C" w:rsidP="000358F3">
            <w:pPr>
              <w:pStyle w:val="ListParagraph"/>
              <w:ind w:left="31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145B84C" w14:textId="77777777" w:rsidR="000358F3" w:rsidRPr="000358F3" w:rsidRDefault="000358F3" w:rsidP="000358F3">
      <w:pPr>
        <w:pStyle w:val="ListParagraph"/>
        <w:widowControl w:val="0"/>
        <w:ind w:left="360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358F3" w:rsidRPr="000358F3" w:rsidSect="005650E3">
      <w:footerReference w:type="default" r:id="rId10"/>
      <w:pgSz w:w="12240" w:h="15840"/>
      <w:pgMar w:top="720" w:right="850" w:bottom="810" w:left="1440" w:header="720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86ADD" w14:textId="77777777" w:rsidR="007B5145" w:rsidRDefault="007B5145" w:rsidP="005650E3">
      <w:pPr>
        <w:spacing w:after="0" w:line="240" w:lineRule="auto"/>
      </w:pPr>
      <w:r>
        <w:separator/>
      </w:r>
    </w:p>
  </w:endnote>
  <w:endnote w:type="continuationSeparator" w:id="0">
    <w:p w14:paraId="36B1B522" w14:textId="77777777" w:rsidR="007B5145" w:rsidRDefault="007B5145" w:rsidP="0056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96176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6C1CB39F" w14:textId="5AFD8CED" w:rsidR="005650E3" w:rsidRPr="005650E3" w:rsidRDefault="005650E3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650E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650E3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5650E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D22C6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5650E3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2423BF8B" w14:textId="77777777" w:rsidR="005650E3" w:rsidRDefault="005650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953C9" w14:textId="77777777" w:rsidR="007B5145" w:rsidRDefault="007B5145" w:rsidP="005650E3">
      <w:pPr>
        <w:spacing w:after="0" w:line="240" w:lineRule="auto"/>
      </w:pPr>
      <w:r>
        <w:separator/>
      </w:r>
    </w:p>
  </w:footnote>
  <w:footnote w:type="continuationSeparator" w:id="0">
    <w:p w14:paraId="077369C5" w14:textId="77777777" w:rsidR="007B5145" w:rsidRDefault="007B5145" w:rsidP="00565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7D84"/>
    <w:multiLevelType w:val="multilevel"/>
    <w:tmpl w:val="F85451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3E7FF1"/>
    <w:multiLevelType w:val="multilevel"/>
    <w:tmpl w:val="8DFC8A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sz w:val="23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3"/>
      </w:rPr>
    </w:lvl>
  </w:abstractNum>
  <w:abstractNum w:abstractNumId="2" w15:restartNumberingAfterBreak="0">
    <w:nsid w:val="1A37570C"/>
    <w:multiLevelType w:val="multilevel"/>
    <w:tmpl w:val="F85451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132CDB"/>
    <w:multiLevelType w:val="multilevel"/>
    <w:tmpl w:val="F85451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CE75CD4"/>
    <w:multiLevelType w:val="hybridMultilevel"/>
    <w:tmpl w:val="EC38AFD2"/>
    <w:lvl w:ilvl="0" w:tplc="E92E3294">
      <w:start w:val="1"/>
      <w:numFmt w:val="bullet"/>
      <w:lvlText w:val=""/>
      <w:lvlJc w:val="left"/>
      <w:pPr>
        <w:ind w:left="10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5" w15:restartNumberingAfterBreak="0">
    <w:nsid w:val="31C638BA"/>
    <w:multiLevelType w:val="hybridMultilevel"/>
    <w:tmpl w:val="F0604476"/>
    <w:lvl w:ilvl="0" w:tplc="CCB26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D7A7F"/>
    <w:multiLevelType w:val="multilevel"/>
    <w:tmpl w:val="4A4E16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3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3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B5A"/>
    <w:rsid w:val="000358F3"/>
    <w:rsid w:val="00241F4C"/>
    <w:rsid w:val="002D22C6"/>
    <w:rsid w:val="004877B1"/>
    <w:rsid w:val="005650E3"/>
    <w:rsid w:val="0065491E"/>
    <w:rsid w:val="00702382"/>
    <w:rsid w:val="007B5145"/>
    <w:rsid w:val="00982790"/>
    <w:rsid w:val="00994EB2"/>
    <w:rsid w:val="009B5F4B"/>
    <w:rsid w:val="00A8738B"/>
    <w:rsid w:val="00A92195"/>
    <w:rsid w:val="00A92B87"/>
    <w:rsid w:val="00A93C4A"/>
    <w:rsid w:val="00A95382"/>
    <w:rsid w:val="00BC5749"/>
    <w:rsid w:val="00C97353"/>
    <w:rsid w:val="00CD2B5A"/>
    <w:rsid w:val="00E97072"/>
    <w:rsid w:val="00FF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B2033"/>
  <w15:chartTrackingRefBased/>
  <w15:docId w15:val="{BBB58E7A-F535-491C-8D8D-CF70672C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B5A"/>
    <w:pPr>
      <w:spacing w:after="0" w:line="240" w:lineRule="auto"/>
      <w:ind w:left="720"/>
      <w:contextualSpacing/>
    </w:pPr>
  </w:style>
  <w:style w:type="table" w:styleId="TableGrid">
    <w:name w:val="Table Grid"/>
    <w:basedOn w:val="TableNormal"/>
    <w:uiPriority w:val="39"/>
    <w:rsid w:val="00035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5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0E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50E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0E3"/>
  </w:style>
  <w:style w:type="paragraph" w:styleId="Footer">
    <w:name w:val="footer"/>
    <w:basedOn w:val="Normal"/>
    <w:link w:val="FooterChar"/>
    <w:uiPriority w:val="99"/>
    <w:unhideWhenUsed/>
    <w:rsid w:val="005650E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2D2531CAB1E24698D6700F6F2FCA8C" ma:contentTypeVersion="8" ma:contentTypeDescription="Create a new document." ma:contentTypeScope="" ma:versionID="a6d281e8563f543e015455ec622d9ca3">
  <xsd:schema xmlns:xsd="http://www.w3.org/2001/XMLSchema" xmlns:xs="http://www.w3.org/2001/XMLSchema" xmlns:p="http://schemas.microsoft.com/office/2006/metadata/properties" xmlns:ns3="2a227a34-30eb-4fdc-996a-0bafa8e18142" targetNamespace="http://schemas.microsoft.com/office/2006/metadata/properties" ma:root="true" ma:fieldsID="c8db14f88d0558b077968ddcc8a3fb02" ns3:_="">
    <xsd:import namespace="2a227a34-30eb-4fdc-996a-0bafa8e181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27a34-30eb-4fdc-996a-0bafa8e18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C30FFA-EA1C-4E72-BC01-DD632B172C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F13298-29D1-4581-8075-6AF41529CF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C1FD72-9330-432E-858E-5A28FA5D8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27a34-30eb-4fdc-996a-0bafa8e181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Kumtor Gold Company</Company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Aisulu Kambarova</dc:creator>
  <cp:keywords/>
  <dc:description/>
  <cp:lastModifiedBy>Saadat Orozbekova</cp:lastModifiedBy>
  <cp:revision>2</cp:revision>
  <cp:lastPrinted>2021-06-01T05:12:00Z</cp:lastPrinted>
  <dcterms:created xsi:type="dcterms:W3CDTF">2021-06-08T07:59:00Z</dcterms:created>
  <dcterms:modified xsi:type="dcterms:W3CDTF">2021-06-08T07:59:00Z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0x010100102D2531CAB1E24698D6700F6F2FCA8C</vt:lpwstr>
  </property>
</Properties>
</file>