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BF" w:rsidRPr="006E4E0A" w:rsidRDefault="005B30BF" w:rsidP="005B30BF">
      <w:pPr>
        <w:jc w:val="center"/>
        <w:rPr>
          <w:b/>
          <w:bCs/>
          <w:sz w:val="24"/>
          <w:szCs w:val="24"/>
          <w:lang w:val="ru-RU"/>
        </w:rPr>
      </w:pPr>
      <w:r w:rsidRPr="006E4E0A">
        <w:rPr>
          <w:b/>
          <w:bCs/>
          <w:sz w:val="24"/>
          <w:szCs w:val="24"/>
          <w:lang w:val="ru-RU"/>
        </w:rPr>
        <w:t>ТЕХНИЧЕСКОЕ ЗАДАНИЕ</w:t>
      </w:r>
    </w:p>
    <w:p w:rsidR="005B30BF" w:rsidRPr="006E4E0A" w:rsidRDefault="005B30BF" w:rsidP="005B30BF">
      <w:pPr>
        <w:jc w:val="center"/>
        <w:rPr>
          <w:b/>
          <w:bCs/>
          <w:sz w:val="24"/>
          <w:szCs w:val="24"/>
          <w:lang w:val="ru-RU"/>
        </w:rPr>
      </w:pPr>
      <w:r w:rsidRPr="006E4E0A">
        <w:rPr>
          <w:b/>
          <w:bCs/>
          <w:sz w:val="24"/>
          <w:szCs w:val="24"/>
          <w:lang w:val="ru-RU"/>
        </w:rPr>
        <w:t xml:space="preserve">на оказание услуг при выполнении буровых работ на </w:t>
      </w:r>
      <w:proofErr w:type="spellStart"/>
      <w:r w:rsidRPr="006E4E0A">
        <w:rPr>
          <w:b/>
          <w:bCs/>
          <w:sz w:val="24"/>
          <w:szCs w:val="24"/>
          <w:lang w:val="ru-RU"/>
        </w:rPr>
        <w:t>Кумторской</w:t>
      </w:r>
      <w:proofErr w:type="spellEnd"/>
      <w:r w:rsidRPr="006E4E0A">
        <w:rPr>
          <w:b/>
          <w:bCs/>
          <w:sz w:val="24"/>
          <w:szCs w:val="24"/>
          <w:lang w:val="ru-RU"/>
        </w:rPr>
        <w:t xml:space="preserve"> концессионной площади в 2018 году.</w:t>
      </w:r>
    </w:p>
    <w:p w:rsidR="005B30BF" w:rsidRPr="006E4E0A" w:rsidRDefault="005B30BF" w:rsidP="005B30BF">
      <w:pPr>
        <w:jc w:val="center"/>
        <w:rPr>
          <w:b/>
          <w:bCs/>
          <w:sz w:val="24"/>
          <w:szCs w:val="24"/>
          <w:lang w:val="ru-RU"/>
        </w:rPr>
      </w:pPr>
    </w:p>
    <w:p w:rsidR="005B30BF" w:rsidRPr="006E4E0A" w:rsidRDefault="005B30BF" w:rsidP="005B30B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Основание проведения работ: </w:t>
      </w:r>
      <w:r w:rsidRPr="006E4E0A">
        <w:rPr>
          <w:sz w:val="24"/>
          <w:szCs w:val="24"/>
          <w:lang w:val="ru-RU"/>
        </w:rPr>
        <w:t xml:space="preserve">Наличие пересмотренного концессионного договора между Правительством </w:t>
      </w:r>
      <w:proofErr w:type="spellStart"/>
      <w:r w:rsidRPr="006E4E0A">
        <w:rPr>
          <w:sz w:val="24"/>
          <w:szCs w:val="24"/>
          <w:lang w:val="ru-RU"/>
        </w:rPr>
        <w:t>Кыргызской</w:t>
      </w:r>
      <w:proofErr w:type="spellEnd"/>
      <w:r w:rsidRPr="006E4E0A">
        <w:rPr>
          <w:sz w:val="24"/>
          <w:szCs w:val="24"/>
          <w:lang w:val="ru-RU"/>
        </w:rPr>
        <w:t xml:space="preserve"> Республики и ЗАО “</w:t>
      </w:r>
      <w:proofErr w:type="spellStart"/>
      <w:r w:rsidRPr="006E4E0A">
        <w:rPr>
          <w:sz w:val="24"/>
          <w:szCs w:val="24"/>
          <w:lang w:val="ru-RU"/>
        </w:rPr>
        <w:t>Кумтор</w:t>
      </w:r>
      <w:proofErr w:type="spellEnd"/>
      <w:r w:rsidRPr="006E4E0A">
        <w:rPr>
          <w:sz w:val="24"/>
          <w:szCs w:val="24"/>
          <w:lang w:val="ru-RU"/>
        </w:rPr>
        <w:t xml:space="preserve"> </w:t>
      </w:r>
      <w:proofErr w:type="spellStart"/>
      <w:r w:rsidRPr="006E4E0A">
        <w:rPr>
          <w:sz w:val="24"/>
          <w:szCs w:val="24"/>
          <w:lang w:val="ru-RU"/>
        </w:rPr>
        <w:t>Голд</w:t>
      </w:r>
      <w:proofErr w:type="spellEnd"/>
      <w:r w:rsidRPr="006E4E0A">
        <w:rPr>
          <w:sz w:val="24"/>
          <w:szCs w:val="24"/>
          <w:lang w:val="ru-RU"/>
        </w:rPr>
        <w:t xml:space="preserve"> Компани” от 6 июня 2009 года.</w:t>
      </w:r>
    </w:p>
    <w:p w:rsidR="005B30BF" w:rsidRPr="006E4E0A" w:rsidRDefault="005B30BF" w:rsidP="005B30BF">
      <w:pPr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</w:t>
      </w:r>
    </w:p>
    <w:p w:rsidR="005B30BF" w:rsidRPr="006E4E0A" w:rsidRDefault="005B30BF" w:rsidP="005B30BF">
      <w:pPr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Целевое назначение:</w:t>
      </w:r>
    </w:p>
    <w:p w:rsidR="005B30BF" w:rsidRPr="006E4E0A" w:rsidRDefault="005B30BF" w:rsidP="005B30BF">
      <w:pPr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       -  Геологоразведочные работы на участках </w:t>
      </w:r>
      <w:r>
        <w:rPr>
          <w:sz w:val="24"/>
          <w:szCs w:val="24"/>
          <w:lang w:val="ru-RU"/>
        </w:rPr>
        <w:t xml:space="preserve">рудника </w:t>
      </w:r>
      <w:proofErr w:type="spellStart"/>
      <w:r>
        <w:rPr>
          <w:sz w:val="24"/>
          <w:szCs w:val="24"/>
          <w:lang w:val="ru-RU"/>
        </w:rPr>
        <w:t>Кумтор</w:t>
      </w:r>
      <w:proofErr w:type="spellEnd"/>
      <w:r>
        <w:rPr>
          <w:sz w:val="24"/>
          <w:szCs w:val="24"/>
          <w:lang w:val="ru-RU"/>
        </w:rPr>
        <w:t>.</w:t>
      </w:r>
    </w:p>
    <w:p w:rsidR="005B30BF" w:rsidRPr="006E4E0A" w:rsidRDefault="005B30BF" w:rsidP="005B30BF">
      <w:pPr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                                               </w:t>
      </w:r>
    </w:p>
    <w:p w:rsidR="005B30BF" w:rsidRPr="006E4E0A" w:rsidRDefault="005B30BF" w:rsidP="005B30BF">
      <w:pPr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Пространственное расположение объекта:</w:t>
      </w:r>
    </w:p>
    <w:p w:rsidR="005B30BF" w:rsidRPr="006E4E0A" w:rsidRDefault="005B30BF" w:rsidP="005B30BF">
      <w:pPr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- </w:t>
      </w:r>
      <w:proofErr w:type="spellStart"/>
      <w:r w:rsidRPr="006E4E0A">
        <w:rPr>
          <w:sz w:val="24"/>
          <w:szCs w:val="24"/>
          <w:lang w:val="ru-RU"/>
        </w:rPr>
        <w:t>Кумторская</w:t>
      </w:r>
      <w:proofErr w:type="spellEnd"/>
      <w:r w:rsidRPr="006E4E0A">
        <w:rPr>
          <w:sz w:val="24"/>
          <w:szCs w:val="24"/>
          <w:lang w:val="ru-RU"/>
        </w:rPr>
        <w:t xml:space="preserve"> площадь находится в </w:t>
      </w:r>
      <w:proofErr w:type="spellStart"/>
      <w:r w:rsidRPr="006E4E0A">
        <w:rPr>
          <w:sz w:val="24"/>
          <w:szCs w:val="24"/>
          <w:lang w:val="ru-RU"/>
        </w:rPr>
        <w:t>Джеты-Огузском</w:t>
      </w:r>
      <w:proofErr w:type="spellEnd"/>
      <w:r w:rsidRPr="006E4E0A">
        <w:rPr>
          <w:sz w:val="24"/>
          <w:szCs w:val="24"/>
          <w:lang w:val="ru-RU"/>
        </w:rPr>
        <w:t xml:space="preserve"> районе Иссык-Кульской области Северо-западный фланг концессионной площади (примерно 40% ее площади) приходится на </w:t>
      </w:r>
      <w:proofErr w:type="spellStart"/>
      <w:r w:rsidRPr="006E4E0A">
        <w:rPr>
          <w:sz w:val="24"/>
          <w:szCs w:val="24"/>
          <w:lang w:val="ru-RU"/>
        </w:rPr>
        <w:t>Кумторскую</w:t>
      </w:r>
      <w:proofErr w:type="spellEnd"/>
      <w:r w:rsidRPr="006E4E0A">
        <w:rPr>
          <w:sz w:val="24"/>
          <w:szCs w:val="24"/>
          <w:lang w:val="ru-RU"/>
        </w:rPr>
        <w:t xml:space="preserve"> межгорную впадину, заполненную грубообломочными четвертичными отложениями. Противоположный юго-восточный фланг территории простирается до высокогорной (до </w:t>
      </w:r>
      <w:smartTag w:uri="urn:schemas-microsoft-com:office:smarttags" w:element="metricconverter">
        <w:smartTagPr>
          <w:attr w:name="ProductID" w:val="5000 м"/>
        </w:smartTagPr>
        <w:r w:rsidRPr="006E4E0A">
          <w:rPr>
            <w:sz w:val="24"/>
            <w:szCs w:val="24"/>
            <w:lang w:val="ru-RU"/>
          </w:rPr>
          <w:t>5000 м</w:t>
        </w:r>
      </w:smartTag>
      <w:r w:rsidRPr="006E4E0A">
        <w:rPr>
          <w:sz w:val="24"/>
          <w:szCs w:val="24"/>
          <w:lang w:val="ru-RU"/>
        </w:rPr>
        <w:t>) осевой части хребта Акшийрак.</w:t>
      </w:r>
    </w:p>
    <w:p w:rsidR="005B30BF" w:rsidRPr="006E4E0A" w:rsidRDefault="005B30BF" w:rsidP="005B30BF">
      <w:pPr>
        <w:tabs>
          <w:tab w:val="left" w:pos="0"/>
          <w:tab w:val="left" w:pos="4320"/>
          <w:tab w:val="left" w:pos="4860"/>
          <w:tab w:val="left" w:pos="5580"/>
        </w:tabs>
        <w:ind w:firstLine="720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>До ближайшей желе</w:t>
      </w:r>
      <w:r>
        <w:rPr>
          <w:sz w:val="24"/>
          <w:szCs w:val="24"/>
          <w:lang w:val="ru-RU"/>
        </w:rPr>
        <w:t>знодорожной станции Балыкчи – 23</w:t>
      </w:r>
      <w:r w:rsidRPr="006E4E0A">
        <w:rPr>
          <w:sz w:val="24"/>
          <w:szCs w:val="24"/>
          <w:lang w:val="ru-RU"/>
        </w:rPr>
        <w:t xml:space="preserve">0 км, до города Бишкек – </w:t>
      </w:r>
      <w:r>
        <w:rPr>
          <w:sz w:val="24"/>
          <w:szCs w:val="24"/>
          <w:lang w:val="ru-RU"/>
        </w:rPr>
        <w:t>41</w:t>
      </w:r>
      <w:r w:rsidRPr="006E4E0A">
        <w:rPr>
          <w:sz w:val="24"/>
          <w:szCs w:val="24"/>
          <w:lang w:val="ru-RU"/>
        </w:rPr>
        <w:t xml:space="preserve">0 км. </w:t>
      </w:r>
    </w:p>
    <w:p w:rsidR="005B30BF" w:rsidRPr="009F636D" w:rsidRDefault="005B30BF" w:rsidP="005B30BF">
      <w:pPr>
        <w:jc w:val="both"/>
        <w:rPr>
          <w:lang w:val="ru-RU"/>
        </w:rPr>
      </w:pPr>
      <w:r w:rsidRPr="009F636D">
        <w:rPr>
          <w:lang w:val="ru-RU"/>
        </w:rPr>
        <w:t xml:space="preserve">       </w:t>
      </w:r>
    </w:p>
    <w:p w:rsidR="005B30BF" w:rsidRPr="00A136AD" w:rsidRDefault="005B30BF" w:rsidP="005B30BF">
      <w:pPr>
        <w:pStyle w:val="ListParagraph"/>
        <w:numPr>
          <w:ilvl w:val="0"/>
          <w:numId w:val="2"/>
        </w:numPr>
        <w:jc w:val="both"/>
        <w:rPr>
          <w:b/>
        </w:rPr>
      </w:pPr>
      <w:r w:rsidRPr="00A136AD">
        <w:rPr>
          <w:b/>
        </w:rPr>
        <w:t>Обеспечение персоналом буровы</w:t>
      </w:r>
      <w:r>
        <w:rPr>
          <w:b/>
        </w:rPr>
        <w:t>х</w:t>
      </w:r>
      <w:r w:rsidRPr="00A136AD">
        <w:rPr>
          <w:b/>
        </w:rPr>
        <w:t xml:space="preserve"> </w:t>
      </w:r>
      <w:r>
        <w:rPr>
          <w:b/>
        </w:rPr>
        <w:t>установок (станков)</w:t>
      </w:r>
      <w:r w:rsidRPr="00A136AD">
        <w:rPr>
          <w:b/>
        </w:rPr>
        <w:t xml:space="preserve"> КГК </w:t>
      </w:r>
    </w:p>
    <w:p w:rsidR="005B30BF" w:rsidRDefault="005B30BF" w:rsidP="005B30BF">
      <w:pPr>
        <w:pStyle w:val="ListParagraph"/>
        <w:jc w:val="both"/>
      </w:pPr>
      <w:r>
        <w:t>(</w:t>
      </w:r>
      <w:r w:rsidRPr="00EC445A">
        <w:rPr>
          <w:lang w:val="en-US"/>
        </w:rPr>
        <w:t>LY</w:t>
      </w:r>
      <w:r w:rsidRPr="00EC445A">
        <w:t xml:space="preserve">50- 2 </w:t>
      </w:r>
      <w:r>
        <w:t xml:space="preserve">станка, </w:t>
      </w:r>
      <w:r w:rsidRPr="00EC445A">
        <w:rPr>
          <w:lang w:val="en-US"/>
        </w:rPr>
        <w:t>LF</w:t>
      </w:r>
      <w:r w:rsidRPr="00EC445A">
        <w:t xml:space="preserve">140 </w:t>
      </w:r>
      <w:r>
        <w:t>–</w:t>
      </w:r>
      <w:r w:rsidRPr="00EC445A">
        <w:t xml:space="preserve"> 1 </w:t>
      </w:r>
      <w:r>
        <w:t>станок):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563"/>
        <w:gridCol w:w="2790"/>
      </w:tblGrid>
      <w:tr w:rsidR="005B30BF" w:rsidRPr="00B275DD" w:rsidTr="00897715">
        <w:trPr>
          <w:trHeight w:val="244"/>
        </w:trPr>
        <w:tc>
          <w:tcPr>
            <w:tcW w:w="932" w:type="dxa"/>
            <w:shd w:val="clear" w:color="auto" w:fill="auto"/>
          </w:tcPr>
          <w:p w:rsidR="005B30BF" w:rsidRPr="009466AF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9466AF">
              <w:rPr>
                <w:rFonts w:eastAsia="Calibri"/>
              </w:rPr>
              <w:t>№</w:t>
            </w:r>
            <w:r>
              <w:rPr>
                <w:rFonts w:eastAsia="Calibri"/>
              </w:rPr>
              <w:t>№</w:t>
            </w:r>
          </w:p>
        </w:tc>
        <w:tc>
          <w:tcPr>
            <w:tcW w:w="3563" w:type="dxa"/>
            <w:shd w:val="clear" w:color="auto" w:fill="auto"/>
          </w:tcPr>
          <w:p w:rsidR="005B30BF" w:rsidRPr="009466AF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9466AF">
              <w:rPr>
                <w:rFonts w:eastAsia="Calibri"/>
              </w:rPr>
              <w:t>Персонал</w:t>
            </w:r>
          </w:p>
        </w:tc>
        <w:tc>
          <w:tcPr>
            <w:tcW w:w="2790" w:type="dxa"/>
            <w:shd w:val="clear" w:color="auto" w:fill="auto"/>
          </w:tcPr>
          <w:p w:rsidR="005B30BF" w:rsidRPr="009466AF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9466AF"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t>персонала</w:t>
            </w:r>
          </w:p>
        </w:tc>
      </w:tr>
      <w:tr w:rsidR="005B30BF" w:rsidRPr="00B275DD" w:rsidTr="00897715">
        <w:trPr>
          <w:trHeight w:val="244"/>
        </w:trPr>
        <w:tc>
          <w:tcPr>
            <w:tcW w:w="932" w:type="dxa"/>
            <w:shd w:val="clear" w:color="auto" w:fill="auto"/>
          </w:tcPr>
          <w:p w:rsidR="005B30BF" w:rsidRPr="009466AF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9466AF">
              <w:rPr>
                <w:rFonts w:eastAsia="Calibri"/>
              </w:rPr>
              <w:t>1</w:t>
            </w:r>
          </w:p>
        </w:tc>
        <w:tc>
          <w:tcPr>
            <w:tcW w:w="3563" w:type="dxa"/>
            <w:shd w:val="clear" w:color="auto" w:fill="auto"/>
          </w:tcPr>
          <w:p w:rsidR="005B30BF" w:rsidRPr="009466AF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9466AF">
              <w:rPr>
                <w:rFonts w:eastAsia="Calibri"/>
              </w:rPr>
              <w:t>Буровой мастер</w:t>
            </w:r>
          </w:p>
        </w:tc>
        <w:tc>
          <w:tcPr>
            <w:tcW w:w="2790" w:type="dxa"/>
            <w:shd w:val="clear" w:color="auto" w:fill="auto"/>
          </w:tcPr>
          <w:p w:rsidR="005B30BF" w:rsidRPr="009466AF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9466AF">
              <w:rPr>
                <w:rFonts w:eastAsia="Calibri"/>
              </w:rPr>
              <w:t>2</w:t>
            </w:r>
          </w:p>
        </w:tc>
      </w:tr>
      <w:tr w:rsidR="005B30BF" w:rsidRPr="002643F3" w:rsidTr="00897715">
        <w:trPr>
          <w:trHeight w:val="244"/>
        </w:trPr>
        <w:tc>
          <w:tcPr>
            <w:tcW w:w="932" w:type="dxa"/>
            <w:shd w:val="clear" w:color="auto" w:fill="auto"/>
          </w:tcPr>
          <w:p w:rsidR="005B30BF" w:rsidRPr="002643F3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2</w:t>
            </w:r>
          </w:p>
        </w:tc>
        <w:tc>
          <w:tcPr>
            <w:tcW w:w="3563" w:type="dxa"/>
            <w:shd w:val="clear" w:color="auto" w:fill="auto"/>
          </w:tcPr>
          <w:p w:rsidR="005B30BF" w:rsidRPr="002643F3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 xml:space="preserve">Инженер по </w:t>
            </w:r>
            <w:r>
              <w:rPr>
                <w:rFonts w:eastAsia="Calibri"/>
              </w:rPr>
              <w:t xml:space="preserve">ОТ и </w:t>
            </w:r>
            <w:r w:rsidRPr="002643F3">
              <w:rPr>
                <w:rFonts w:eastAsia="Calibri"/>
              </w:rPr>
              <w:t>ТБ</w:t>
            </w:r>
          </w:p>
        </w:tc>
        <w:tc>
          <w:tcPr>
            <w:tcW w:w="2790" w:type="dxa"/>
            <w:shd w:val="clear" w:color="auto" w:fill="auto"/>
          </w:tcPr>
          <w:p w:rsidR="005B30BF" w:rsidRPr="002643F3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2</w:t>
            </w:r>
          </w:p>
        </w:tc>
      </w:tr>
      <w:tr w:rsidR="005B30BF" w:rsidRPr="002643F3" w:rsidTr="00897715">
        <w:trPr>
          <w:trHeight w:val="244"/>
        </w:trPr>
        <w:tc>
          <w:tcPr>
            <w:tcW w:w="932" w:type="dxa"/>
            <w:shd w:val="clear" w:color="auto" w:fill="auto"/>
          </w:tcPr>
          <w:p w:rsidR="005B30BF" w:rsidRPr="002643F3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3</w:t>
            </w:r>
          </w:p>
        </w:tc>
        <w:tc>
          <w:tcPr>
            <w:tcW w:w="3563" w:type="dxa"/>
            <w:shd w:val="clear" w:color="auto" w:fill="auto"/>
          </w:tcPr>
          <w:p w:rsidR="005B30BF" w:rsidRPr="002643F3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Машинист</w:t>
            </w:r>
            <w:r w:rsidRPr="002643F3">
              <w:rPr>
                <w:rFonts w:eastAsia="Calibri"/>
              </w:rPr>
              <w:t xml:space="preserve"> бурово</w:t>
            </w:r>
            <w:r>
              <w:rPr>
                <w:rFonts w:eastAsia="Calibri"/>
              </w:rPr>
              <w:t>й</w:t>
            </w:r>
            <w:r w:rsidRPr="002643F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установки</w:t>
            </w:r>
          </w:p>
        </w:tc>
        <w:tc>
          <w:tcPr>
            <w:tcW w:w="2790" w:type="dxa"/>
            <w:shd w:val="clear" w:color="auto" w:fill="auto"/>
          </w:tcPr>
          <w:p w:rsidR="005B30BF" w:rsidRPr="002643F3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12</w:t>
            </w:r>
          </w:p>
        </w:tc>
      </w:tr>
      <w:tr w:rsidR="005B30BF" w:rsidRPr="002643F3" w:rsidTr="00897715">
        <w:trPr>
          <w:trHeight w:val="244"/>
        </w:trPr>
        <w:tc>
          <w:tcPr>
            <w:tcW w:w="932" w:type="dxa"/>
            <w:shd w:val="clear" w:color="auto" w:fill="auto"/>
          </w:tcPr>
          <w:p w:rsidR="005B30BF" w:rsidRPr="002643F3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4</w:t>
            </w:r>
          </w:p>
        </w:tc>
        <w:tc>
          <w:tcPr>
            <w:tcW w:w="3563" w:type="dxa"/>
            <w:shd w:val="clear" w:color="auto" w:fill="auto"/>
          </w:tcPr>
          <w:p w:rsidR="005B30BF" w:rsidRPr="002643F3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 xml:space="preserve">Помощник </w:t>
            </w:r>
            <w:r>
              <w:rPr>
                <w:rFonts w:eastAsia="Calibri"/>
              </w:rPr>
              <w:t>машиниста буровой установки</w:t>
            </w:r>
            <w:r w:rsidRPr="002643F3">
              <w:rPr>
                <w:rFonts w:eastAsia="Calibri"/>
              </w:rPr>
              <w:t xml:space="preserve"> (</w:t>
            </w:r>
            <w:proofErr w:type="spellStart"/>
            <w:r w:rsidRPr="002643F3">
              <w:rPr>
                <w:rFonts w:eastAsia="Calibri"/>
              </w:rPr>
              <w:t>помбур</w:t>
            </w:r>
            <w:proofErr w:type="spellEnd"/>
            <w:r w:rsidRPr="002643F3">
              <w:rPr>
                <w:rFonts w:eastAsia="Calibri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5B30BF" w:rsidRPr="002643F3" w:rsidRDefault="005B30BF" w:rsidP="00897715">
            <w:pPr>
              <w:pStyle w:val="ListParagraph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24</w:t>
            </w:r>
          </w:p>
        </w:tc>
      </w:tr>
    </w:tbl>
    <w:p w:rsidR="005B30BF" w:rsidRPr="002643F3" w:rsidRDefault="005B30BF" w:rsidP="005B30BF">
      <w:pPr>
        <w:pStyle w:val="ListParagraph"/>
        <w:jc w:val="both"/>
      </w:pPr>
    </w:p>
    <w:p w:rsidR="005B30BF" w:rsidRDefault="005B30BF" w:rsidP="005B30BF">
      <w:pPr>
        <w:pStyle w:val="ListParagraph"/>
        <w:ind w:left="0" w:firstLine="540"/>
        <w:jc w:val="both"/>
      </w:pPr>
      <w:r w:rsidRPr="00F220CB">
        <w:t xml:space="preserve">Оплата </w:t>
      </w:r>
      <w:r>
        <w:t>за</w:t>
      </w:r>
      <w:r w:rsidRPr="00F220CB">
        <w:t xml:space="preserve"> услуги </w:t>
      </w:r>
      <w:r>
        <w:t>рассчитывается</w:t>
      </w:r>
      <w:r w:rsidRPr="00F220CB">
        <w:t xml:space="preserve"> </w:t>
      </w:r>
      <w:r>
        <w:t xml:space="preserve">от </w:t>
      </w:r>
      <w:r w:rsidRPr="00F220CB">
        <w:t>объем</w:t>
      </w:r>
      <w:r>
        <w:t>а</w:t>
      </w:r>
      <w:r w:rsidRPr="00F220CB">
        <w:t xml:space="preserve"> выполненного бурения в погонных метрах в течении отчетного месяца.</w:t>
      </w:r>
      <w:r>
        <w:t xml:space="preserve"> </w:t>
      </w:r>
      <w:r w:rsidRPr="00F220CB">
        <w:t xml:space="preserve">Стоимость автотранспорта должна входить в стоимость </w:t>
      </w:r>
      <w:r>
        <w:t>услуги</w:t>
      </w:r>
      <w:r w:rsidRPr="00F220CB">
        <w:t xml:space="preserve">. </w:t>
      </w:r>
    </w:p>
    <w:p w:rsidR="005B30BF" w:rsidRDefault="005B30BF" w:rsidP="005B30BF">
      <w:pPr>
        <w:jc w:val="both"/>
        <w:rPr>
          <w:b/>
          <w:bCs/>
          <w:lang w:val="ru-RU"/>
        </w:rPr>
      </w:pPr>
    </w:p>
    <w:p w:rsidR="005B30BF" w:rsidRPr="009F636D" w:rsidRDefault="005B30BF" w:rsidP="005B30BF">
      <w:pPr>
        <w:jc w:val="both"/>
        <w:rPr>
          <w:b/>
          <w:bCs/>
          <w:lang w:val="ru-RU"/>
        </w:rPr>
      </w:pPr>
    </w:p>
    <w:p w:rsidR="005B30BF" w:rsidRPr="006E4E0A" w:rsidRDefault="005B30BF" w:rsidP="005B30BF">
      <w:pPr>
        <w:jc w:val="both"/>
        <w:rPr>
          <w:b/>
          <w:bCs/>
          <w:sz w:val="24"/>
          <w:szCs w:val="24"/>
          <w:lang w:val="ru-RU"/>
        </w:rPr>
      </w:pPr>
      <w:r w:rsidRPr="006E4E0A">
        <w:rPr>
          <w:b/>
          <w:bCs/>
          <w:sz w:val="24"/>
          <w:szCs w:val="24"/>
          <w:lang w:val="ru-RU"/>
        </w:rPr>
        <w:t>Основные требования при выполнении работ</w:t>
      </w:r>
    </w:p>
    <w:p w:rsidR="005B30BF" w:rsidRPr="006E4E0A" w:rsidRDefault="005B30BF" w:rsidP="005B30BF">
      <w:pPr>
        <w:jc w:val="both"/>
        <w:rPr>
          <w:sz w:val="24"/>
          <w:szCs w:val="24"/>
          <w:lang w:val="ru-RU"/>
        </w:rPr>
      </w:pPr>
    </w:p>
    <w:p w:rsidR="005B30BF" w:rsidRPr="006E4E0A" w:rsidRDefault="005B30BF" w:rsidP="005B30BF">
      <w:pPr>
        <w:numPr>
          <w:ilvl w:val="0"/>
          <w:numId w:val="1"/>
        </w:numPr>
        <w:spacing w:after="200"/>
        <w:ind w:left="0" w:firstLine="0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>Работы должны проводиться в строгом соблюдении действующих правил безопасности при проведении геологоразведочных работ.</w:t>
      </w:r>
    </w:p>
    <w:p w:rsidR="005B30BF" w:rsidRPr="006E4E0A" w:rsidRDefault="005B30BF" w:rsidP="005B30BF">
      <w:pPr>
        <w:numPr>
          <w:ilvl w:val="0"/>
          <w:numId w:val="1"/>
        </w:numPr>
        <w:spacing w:after="200"/>
        <w:ind w:hanging="720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>Представители Заказчика производят инспекции по соблюдению безопасных условий ведения буровых работ согласно правил</w:t>
      </w:r>
      <w:r>
        <w:rPr>
          <w:sz w:val="24"/>
          <w:szCs w:val="24"/>
          <w:lang w:val="ru-RU"/>
        </w:rPr>
        <w:t>ам</w:t>
      </w:r>
      <w:r w:rsidRPr="006E4E0A">
        <w:rPr>
          <w:sz w:val="24"/>
          <w:szCs w:val="24"/>
          <w:lang w:val="ru-RU"/>
        </w:rPr>
        <w:t xml:space="preserve"> безопасности, при проведении геологоразведочных работ.</w:t>
      </w:r>
    </w:p>
    <w:p w:rsidR="005B30BF" w:rsidRPr="006E4E0A" w:rsidRDefault="005B30BF" w:rsidP="005B30BF">
      <w:pPr>
        <w:ind w:left="360"/>
        <w:jc w:val="both"/>
        <w:rPr>
          <w:sz w:val="24"/>
          <w:szCs w:val="24"/>
          <w:lang w:val="ru-RU"/>
        </w:rPr>
      </w:pPr>
      <w:r w:rsidRPr="00F220CB">
        <w:rPr>
          <w:sz w:val="24"/>
          <w:szCs w:val="24"/>
          <w:highlight w:val="yellow"/>
          <w:lang w:val="ru-RU"/>
        </w:rPr>
        <w:t>Подрядчик обеспечивает транспортировку персонала, организацию жилищно-бытовых условий на участках работ</w:t>
      </w:r>
      <w:r w:rsidRPr="00F220CB">
        <w:rPr>
          <w:sz w:val="24"/>
          <w:szCs w:val="24"/>
          <w:lang w:val="ru-RU"/>
        </w:rPr>
        <w:t>. Обеспечение топливом автотранспорта осуществляется Заказчиком</w:t>
      </w:r>
      <w:r w:rsidRPr="006E4E0A">
        <w:rPr>
          <w:sz w:val="24"/>
          <w:szCs w:val="24"/>
          <w:lang w:val="ru-RU"/>
        </w:rPr>
        <w:t xml:space="preserve">.  </w:t>
      </w:r>
    </w:p>
    <w:p w:rsidR="005B30BF" w:rsidRDefault="005B30BF" w:rsidP="005B30BF">
      <w:pPr>
        <w:ind w:left="709"/>
        <w:jc w:val="right"/>
        <w:rPr>
          <w:bCs/>
          <w:lang w:val="ru-RU"/>
        </w:rPr>
      </w:pPr>
    </w:p>
    <w:p w:rsidR="005B30BF" w:rsidRPr="006E4E0A" w:rsidRDefault="005B30BF" w:rsidP="005B30BF">
      <w:pPr>
        <w:spacing w:after="20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Предварительные с</w:t>
      </w:r>
      <w:r w:rsidRPr="006E4E0A">
        <w:rPr>
          <w:sz w:val="24"/>
          <w:szCs w:val="24"/>
          <w:lang w:val="ru-RU"/>
        </w:rPr>
        <w:t>роки выполнения работ:</w:t>
      </w:r>
    </w:p>
    <w:p w:rsidR="005B30BF" w:rsidRPr="006E4E0A" w:rsidRDefault="005B30BF" w:rsidP="005B30BF">
      <w:pPr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    начало </w:t>
      </w:r>
      <w:proofErr w:type="gramStart"/>
      <w:r w:rsidRPr="006E4E0A">
        <w:rPr>
          <w:sz w:val="24"/>
          <w:szCs w:val="24"/>
          <w:lang w:val="ru-RU"/>
        </w:rPr>
        <w:t xml:space="preserve">работ:   </w:t>
      </w:r>
      <w:proofErr w:type="gramEnd"/>
      <w:r w:rsidRPr="006E4E0A">
        <w:rPr>
          <w:sz w:val="24"/>
          <w:szCs w:val="24"/>
          <w:lang w:val="ru-RU"/>
        </w:rPr>
        <w:t xml:space="preserve">                   </w:t>
      </w:r>
      <w:r w:rsidRPr="006E4E0A">
        <w:rPr>
          <w:sz w:val="24"/>
          <w:szCs w:val="24"/>
          <w:lang w:val="ru-RU"/>
        </w:rPr>
        <w:tab/>
        <w:t xml:space="preserve"> -  июнь 2018 г. </w:t>
      </w:r>
    </w:p>
    <w:p w:rsidR="005B30BF" w:rsidRPr="006E4E0A" w:rsidRDefault="005B30BF" w:rsidP="005B30BF">
      <w:pPr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    окончание работ:</w:t>
      </w:r>
      <w:r w:rsidRPr="006E4E0A">
        <w:rPr>
          <w:sz w:val="24"/>
          <w:szCs w:val="24"/>
          <w:lang w:val="ru-RU"/>
        </w:rPr>
        <w:tab/>
      </w:r>
      <w:r w:rsidRPr="006E4E0A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6E4E0A">
        <w:rPr>
          <w:sz w:val="24"/>
          <w:szCs w:val="24"/>
          <w:lang w:val="ru-RU"/>
        </w:rPr>
        <w:t xml:space="preserve"> - декабрь 2018 г.</w:t>
      </w:r>
    </w:p>
    <w:p w:rsidR="005B30BF" w:rsidRDefault="005B30BF" w:rsidP="005B30BF">
      <w:pPr>
        <w:rPr>
          <w:bCs/>
          <w:lang w:val="ru-RU"/>
        </w:rPr>
      </w:pPr>
    </w:p>
    <w:p w:rsidR="005B30BF" w:rsidRDefault="005B30BF" w:rsidP="005B30BF">
      <w:pPr>
        <w:ind w:left="709"/>
        <w:jc w:val="right"/>
        <w:rPr>
          <w:bCs/>
          <w:lang w:val="ru-RU"/>
        </w:rPr>
      </w:pPr>
    </w:p>
    <w:p w:rsidR="005B30BF" w:rsidRDefault="005B30BF" w:rsidP="005B30BF">
      <w:pPr>
        <w:ind w:left="709"/>
        <w:jc w:val="right"/>
        <w:rPr>
          <w:bCs/>
          <w:lang w:val="ru-RU"/>
        </w:rPr>
      </w:pPr>
    </w:p>
    <w:p w:rsidR="005B30BF" w:rsidRDefault="005B30BF" w:rsidP="005B30BF">
      <w:pPr>
        <w:ind w:left="709"/>
        <w:jc w:val="right"/>
        <w:rPr>
          <w:bCs/>
          <w:lang w:val="ru-RU"/>
        </w:rPr>
      </w:pPr>
    </w:p>
    <w:p w:rsidR="005B30BF" w:rsidRDefault="005B30BF" w:rsidP="005B30BF">
      <w:pPr>
        <w:ind w:left="709"/>
        <w:jc w:val="right"/>
        <w:rPr>
          <w:bCs/>
          <w:lang w:val="ru-RU"/>
        </w:rPr>
      </w:pPr>
    </w:p>
    <w:p w:rsidR="00B14B9E" w:rsidRDefault="00B14B9E" w:rsidP="005B30BF">
      <w:pPr>
        <w:ind w:left="709"/>
        <w:jc w:val="right"/>
        <w:rPr>
          <w:bCs/>
          <w:sz w:val="24"/>
          <w:szCs w:val="24"/>
          <w:lang w:val="ru-RU"/>
        </w:rPr>
      </w:pPr>
    </w:p>
    <w:p w:rsidR="00B14B9E" w:rsidRDefault="00B14B9E" w:rsidP="005B30BF">
      <w:pPr>
        <w:ind w:left="709"/>
        <w:jc w:val="right"/>
        <w:rPr>
          <w:bCs/>
          <w:sz w:val="24"/>
          <w:szCs w:val="24"/>
          <w:lang w:val="ru-RU"/>
        </w:rPr>
      </w:pPr>
    </w:p>
    <w:p w:rsidR="00B14B9E" w:rsidRDefault="00B14B9E" w:rsidP="005B30BF">
      <w:pPr>
        <w:ind w:left="709"/>
        <w:jc w:val="right"/>
        <w:rPr>
          <w:bCs/>
          <w:sz w:val="24"/>
          <w:szCs w:val="24"/>
          <w:lang w:val="ru-RU"/>
        </w:rPr>
      </w:pPr>
    </w:p>
    <w:p w:rsidR="00B14B9E" w:rsidRDefault="00B14B9E" w:rsidP="005B30BF">
      <w:pPr>
        <w:ind w:left="709"/>
        <w:jc w:val="right"/>
        <w:rPr>
          <w:bCs/>
          <w:sz w:val="24"/>
          <w:szCs w:val="24"/>
          <w:lang w:val="ru-RU"/>
        </w:rPr>
      </w:pPr>
    </w:p>
    <w:p w:rsidR="005B30BF" w:rsidRPr="006E4E0A" w:rsidRDefault="005B30BF" w:rsidP="005B30BF">
      <w:pPr>
        <w:ind w:left="709"/>
        <w:jc w:val="right"/>
        <w:rPr>
          <w:bCs/>
          <w:sz w:val="24"/>
          <w:szCs w:val="24"/>
          <w:lang w:val="ru-RU"/>
        </w:rPr>
      </w:pPr>
      <w:r w:rsidRPr="006E4E0A">
        <w:rPr>
          <w:bCs/>
          <w:sz w:val="24"/>
          <w:szCs w:val="24"/>
          <w:lang w:val="ru-RU"/>
        </w:rPr>
        <w:lastRenderedPageBreak/>
        <w:t>Графическое приложение 1</w:t>
      </w:r>
    </w:p>
    <w:p w:rsidR="005B30BF" w:rsidRDefault="005B30BF" w:rsidP="005B30BF">
      <w:pPr>
        <w:tabs>
          <w:tab w:val="left" w:pos="270"/>
        </w:tabs>
        <w:ind w:left="709" w:hanging="709"/>
        <w:jc w:val="center"/>
        <w:rPr>
          <w:b/>
          <w:bCs/>
        </w:rPr>
      </w:pPr>
      <w:r w:rsidRPr="009F636D">
        <w:rPr>
          <w:noProof/>
          <w:lang w:val="en-US" w:eastAsia="en-US"/>
        </w:rPr>
        <w:drawing>
          <wp:inline distT="0" distB="0" distL="0" distR="0">
            <wp:extent cx="4676775" cy="495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0BF" w:rsidRDefault="005B30BF" w:rsidP="005B30BF">
      <w:pPr>
        <w:tabs>
          <w:tab w:val="left" w:pos="270"/>
        </w:tabs>
        <w:ind w:left="709" w:hanging="709"/>
        <w:jc w:val="center"/>
        <w:rPr>
          <w:b/>
          <w:bCs/>
        </w:rPr>
      </w:pPr>
    </w:p>
    <w:p w:rsidR="005B30BF" w:rsidRPr="006E4E0A" w:rsidRDefault="005B30BF" w:rsidP="005B30BF">
      <w:pPr>
        <w:spacing w:after="200" w:line="276" w:lineRule="auto"/>
        <w:jc w:val="both"/>
        <w:rPr>
          <w:sz w:val="24"/>
          <w:szCs w:val="24"/>
          <w:lang w:val="ru-RU"/>
        </w:rPr>
      </w:pPr>
    </w:p>
    <w:p w:rsidR="00171F47" w:rsidRDefault="00171F47">
      <w:bookmarkStart w:id="0" w:name="_GoBack"/>
      <w:bookmarkEnd w:id="0"/>
    </w:p>
    <w:sectPr w:rsidR="00171F47">
      <w:footerReference w:type="default" r:id="rId8"/>
      <w:pgSz w:w="11906" w:h="16838"/>
      <w:pgMar w:top="851" w:right="567" w:bottom="7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72" w:rsidRDefault="00716172" w:rsidP="00B14B9E">
      <w:r>
        <w:separator/>
      </w:r>
    </w:p>
  </w:endnote>
  <w:endnote w:type="continuationSeparator" w:id="0">
    <w:p w:rsidR="00716172" w:rsidRDefault="00716172" w:rsidP="00B1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01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B9E" w:rsidRDefault="00B14B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B9E" w:rsidRDefault="00B14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72" w:rsidRDefault="00716172" w:rsidP="00B14B9E">
      <w:r>
        <w:separator/>
      </w:r>
    </w:p>
  </w:footnote>
  <w:footnote w:type="continuationSeparator" w:id="0">
    <w:p w:rsidR="00716172" w:rsidRDefault="00716172" w:rsidP="00B1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4D50"/>
    <w:multiLevelType w:val="hybridMultilevel"/>
    <w:tmpl w:val="0DEC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3E7D"/>
    <w:multiLevelType w:val="hybridMultilevel"/>
    <w:tmpl w:val="8846495A"/>
    <w:lvl w:ilvl="0" w:tplc="94DC6120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06"/>
    <w:rsid w:val="00171F47"/>
    <w:rsid w:val="005B30BF"/>
    <w:rsid w:val="00716172"/>
    <w:rsid w:val="00B14B9E"/>
    <w:rsid w:val="00E6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E11E57C"/>
  <w15:chartTrackingRefBased/>
  <w15:docId w15:val="{08E775BE-07CE-42F9-A42C-B45B22DA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30BF"/>
    <w:pPr>
      <w:ind w:left="720"/>
    </w:pPr>
    <w:rPr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14B9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9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unhideWhenUsed/>
    <w:rsid w:val="00B14B9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9E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>KGC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 Kozubekov</dc:creator>
  <cp:keywords/>
  <dc:description/>
  <cp:lastModifiedBy>Ermek Kozubekov</cp:lastModifiedBy>
  <cp:revision>4</cp:revision>
  <dcterms:created xsi:type="dcterms:W3CDTF">2018-04-26T12:55:00Z</dcterms:created>
  <dcterms:modified xsi:type="dcterms:W3CDTF">2018-04-26T13:09:00Z</dcterms:modified>
</cp:coreProperties>
</file>